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DD433">
      <w:pPr>
        <w:pStyle w:val="7"/>
        <w:rPr>
          <w:rFonts w:ascii="仿宋_GB2312" w:eastAsia="仿宋_GB2312"/>
          <w:color w:val="auto"/>
          <w:sz w:val="32"/>
          <w:szCs w:val="32"/>
          <w:highlight w:val="none"/>
        </w:rPr>
      </w:pPr>
    </w:p>
    <w:p w14:paraId="3C143004">
      <w:pPr>
        <w:pStyle w:val="7"/>
        <w:rPr>
          <w:rFonts w:ascii="仿宋_GB2312" w:eastAsia="仿宋_GB2312"/>
          <w:color w:val="auto"/>
          <w:sz w:val="32"/>
          <w:szCs w:val="32"/>
          <w:highlight w:val="none"/>
        </w:rPr>
      </w:pPr>
    </w:p>
    <w:p w14:paraId="30C3F29F">
      <w:pPr>
        <w:pStyle w:val="7"/>
        <w:rPr>
          <w:color w:val="auto"/>
          <w:highlight w:val="none"/>
        </w:rPr>
      </w:pPr>
      <w:r>
        <w:rPr>
          <w:color w:val="auto"/>
          <w:highlight w:val="none"/>
        </w:rPr>
        <w:t>国家中医优势专科建设管理办法</w:t>
      </w:r>
    </w:p>
    <w:p w14:paraId="6AAC4943">
      <w:pPr>
        <w:ind w:firstLine="0" w:firstLineChars="0"/>
        <w:jc w:val="both"/>
        <w:rPr>
          <w:rFonts w:hint="eastAsia" w:ascii="楷体_GB2312" w:hAnsi="楷体_GB2312" w:eastAsia="楷体_GB2312" w:cs="楷体_GB2312"/>
          <w:b/>
          <w:bCs/>
          <w:color w:val="auto"/>
          <w:highlight w:val="none"/>
        </w:rPr>
      </w:pPr>
    </w:p>
    <w:p w14:paraId="7B7957F1">
      <w:pPr>
        <w:ind w:firstLine="0" w:firstLineChars="0"/>
        <w:jc w:val="center"/>
        <w:rPr>
          <w:rFonts w:hint="eastAsia" w:ascii="黑体" w:hAnsi="黑体" w:eastAsia="黑体"/>
          <w:color w:val="auto"/>
          <w:szCs w:val="32"/>
          <w:highlight w:val="none"/>
        </w:rPr>
      </w:pPr>
    </w:p>
    <w:p w14:paraId="6D349C51">
      <w:pPr>
        <w:ind w:firstLine="0" w:firstLineChars="0"/>
        <w:jc w:val="center"/>
        <w:rPr>
          <w:rFonts w:hint="eastAsia" w:ascii="楷体_GB2312" w:hAnsi="仿宋" w:eastAsia="楷体_GB2312"/>
          <w:b/>
          <w:color w:val="auto"/>
          <w:szCs w:val="32"/>
          <w:highlight w:val="none"/>
        </w:rPr>
      </w:pPr>
      <w:r>
        <w:rPr>
          <w:rFonts w:hint="eastAsia" w:ascii="黑体" w:hAnsi="黑体" w:eastAsia="黑体"/>
          <w:color w:val="auto"/>
          <w:szCs w:val="32"/>
          <w:highlight w:val="none"/>
        </w:rPr>
        <w:t>第一章  总  则</w:t>
      </w:r>
    </w:p>
    <w:p w14:paraId="0221BC1E">
      <w:pPr>
        <w:ind w:firstLine="643"/>
        <w:rPr>
          <w:rFonts w:hint="eastAsia" w:hAnsi="仿宋"/>
          <w:color w:val="auto"/>
          <w:szCs w:val="32"/>
          <w:highlight w:val="none"/>
        </w:rPr>
      </w:pPr>
      <w:r>
        <w:rPr>
          <w:rFonts w:hint="eastAsia" w:ascii="楷体_GB2312" w:hAnsi="仿宋" w:eastAsia="楷体_GB2312"/>
          <w:b/>
          <w:color w:val="auto"/>
          <w:szCs w:val="32"/>
          <w:highlight w:val="none"/>
        </w:rPr>
        <w:t xml:space="preserve">第一条  </w:t>
      </w:r>
      <w:r>
        <w:rPr>
          <w:rFonts w:hint="eastAsia" w:hAnsi="仿宋"/>
          <w:color w:val="auto"/>
          <w:szCs w:val="32"/>
          <w:highlight w:val="none"/>
        </w:rPr>
        <w:t>为贯彻落实</w:t>
      </w:r>
      <w:r>
        <w:rPr>
          <w:rFonts w:hint="eastAsia" w:cs="仿宋_GB2312"/>
          <w:color w:val="auto"/>
          <w:kern w:val="0"/>
          <w:szCs w:val="32"/>
          <w:highlight w:val="none"/>
          <w:lang w:bidi="ar"/>
        </w:rPr>
        <w:t>《中共中央 国务院关于促进中医药传承创新发展的意见》</w:t>
      </w:r>
      <w:r>
        <w:rPr>
          <w:rFonts w:hint="eastAsia" w:hAnsi="仿宋"/>
          <w:color w:val="auto"/>
          <w:szCs w:val="32"/>
          <w:highlight w:val="none"/>
        </w:rPr>
        <w:t>，进一步加强国家中医优势专科（以下简称“专科”）建设，制定本管理办法。</w:t>
      </w:r>
    </w:p>
    <w:p w14:paraId="603BCB15">
      <w:pPr>
        <w:ind w:firstLine="643"/>
        <w:rPr>
          <w:rFonts w:hint="eastAsia" w:hAnsi="仿宋"/>
          <w:color w:val="auto"/>
          <w:szCs w:val="32"/>
          <w:highlight w:val="none"/>
        </w:rPr>
      </w:pPr>
      <w:r>
        <w:rPr>
          <w:rFonts w:hint="eastAsia" w:ascii="楷体_GB2312" w:hAnsi="仿宋" w:eastAsia="楷体_GB2312"/>
          <w:b/>
          <w:color w:val="auto"/>
          <w:szCs w:val="32"/>
          <w:highlight w:val="none"/>
        </w:rPr>
        <w:t xml:space="preserve">第二条  </w:t>
      </w:r>
      <w:r>
        <w:rPr>
          <w:rFonts w:hint="eastAsia" w:hAnsi="仿宋"/>
          <w:color w:val="auto"/>
          <w:szCs w:val="32"/>
          <w:highlight w:val="none"/>
        </w:rPr>
        <w:t>本管理办法适用于国家中医药管理局确定的国家中医优势专科建设单位和培育单位。</w:t>
      </w:r>
    </w:p>
    <w:p w14:paraId="58C692BD">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第三条  </w:t>
      </w:r>
      <w:r>
        <w:rPr>
          <w:rFonts w:hint="eastAsia" w:cs="仿宋_GB2312"/>
          <w:bCs/>
          <w:color w:val="auto"/>
          <w:szCs w:val="32"/>
          <w:highlight w:val="none"/>
        </w:rPr>
        <w:t>专科建设应当坚持以人民健康为中心，以提高中医临床疗效为核心，在中医药特色优势发挥、重大疑难疾病诊疗、中医药学术传承和科研创新等方面发挥示范引领和辐射带动作用，以更好满足人民群众对高质量中医药服务的需求。</w:t>
      </w:r>
    </w:p>
    <w:p w14:paraId="460B4B14">
      <w:pPr>
        <w:ind w:firstLine="640"/>
        <w:rPr>
          <w:rFonts w:hint="eastAsia"/>
          <w:color w:val="auto"/>
          <w:highlight w:val="none"/>
        </w:rPr>
      </w:pPr>
    </w:p>
    <w:p w14:paraId="5B331B3A">
      <w:pPr>
        <w:ind w:firstLine="0" w:firstLineChars="0"/>
        <w:jc w:val="center"/>
        <w:rPr>
          <w:rFonts w:hint="eastAsia" w:ascii="黑体" w:hAnsi="黑体" w:eastAsia="黑体"/>
          <w:color w:val="auto"/>
          <w:szCs w:val="32"/>
          <w:highlight w:val="none"/>
        </w:rPr>
      </w:pPr>
      <w:r>
        <w:rPr>
          <w:rFonts w:hint="eastAsia" w:ascii="黑体" w:hAnsi="黑体" w:eastAsia="黑体"/>
          <w:color w:val="auto"/>
          <w:szCs w:val="32"/>
          <w:highlight w:val="none"/>
        </w:rPr>
        <w:t>第二章  管理职责</w:t>
      </w:r>
    </w:p>
    <w:p w14:paraId="6458B2C7">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第四条  </w:t>
      </w:r>
      <w:r>
        <w:rPr>
          <w:rFonts w:hint="eastAsia" w:cs="仿宋_GB2312"/>
          <w:bCs/>
          <w:color w:val="auto"/>
          <w:szCs w:val="32"/>
          <w:highlight w:val="none"/>
        </w:rPr>
        <w:t>国家中医药管理局负责专科建设的总体规划和宏观指导，开展申报遴选、过程管理、评估验收等，负责组建国家中医优势专科联合体并指导开展相关工作。国家中医药管理局医政司负责具体组织管理工作。组建专科建设管理专家指导组，负责协助开展专科建设指导、评估验收等工作。在中国中医药科技发展中心设专科建设管理办公室，负责协助开展专科建设日常管理，协助开展专科经</w:t>
      </w:r>
      <w:r>
        <w:rPr>
          <w:rFonts w:hint="eastAsia" w:hAnsi="Times New Roman"/>
          <w:color w:val="auto"/>
          <w:szCs w:val="32"/>
          <w:highlight w:val="none"/>
        </w:rPr>
        <w:t>验交流、推广诊疗方案等，</w:t>
      </w:r>
      <w:r>
        <w:rPr>
          <w:rFonts w:hint="eastAsia" w:cs="仿宋_GB2312"/>
          <w:bCs/>
          <w:color w:val="auto"/>
          <w:szCs w:val="32"/>
          <w:highlight w:val="none"/>
        </w:rPr>
        <w:t>对各地专科及国家中医优势专科联合体建设情况进行汇总、分析，形成评估报告。</w:t>
      </w:r>
    </w:p>
    <w:p w14:paraId="126B361B">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第五条  </w:t>
      </w:r>
      <w:r>
        <w:rPr>
          <w:rFonts w:hint="eastAsia" w:cs="仿宋_GB2312"/>
          <w:bCs/>
          <w:color w:val="auto"/>
          <w:szCs w:val="32"/>
          <w:highlight w:val="none"/>
        </w:rPr>
        <w:t>各省级中医药主管部门根据国家中医药管理局统一安排，负责辖区内专科建设的组织管理工作，主要职责是：</w:t>
      </w:r>
    </w:p>
    <w:p w14:paraId="2453350A">
      <w:pPr>
        <w:widowControl/>
        <w:ind w:firstLine="640"/>
        <w:rPr>
          <w:rFonts w:hint="eastAsia" w:cs="仿宋_GB2312"/>
          <w:color w:val="auto"/>
          <w:kern w:val="0"/>
          <w:szCs w:val="32"/>
          <w:highlight w:val="none"/>
          <w:lang w:bidi="ar"/>
        </w:rPr>
      </w:pPr>
      <w:r>
        <w:rPr>
          <w:rFonts w:hint="eastAsia" w:cs="仿宋_GB2312"/>
          <w:bCs/>
          <w:color w:val="auto"/>
          <w:szCs w:val="32"/>
          <w:highlight w:val="none"/>
        </w:rPr>
        <w:t>（一）</w:t>
      </w:r>
      <w:r>
        <w:rPr>
          <w:rFonts w:hint="eastAsia" w:cs="仿宋_GB2312"/>
          <w:color w:val="auto"/>
          <w:kern w:val="0"/>
          <w:szCs w:val="32"/>
          <w:highlight w:val="none"/>
          <w:lang w:bidi="ar"/>
        </w:rPr>
        <w:t>组织专科申报、评估和监督管理，并向</w:t>
      </w:r>
      <w:r>
        <w:rPr>
          <w:rFonts w:hint="eastAsia" w:cs="仿宋_GB2312"/>
          <w:bCs/>
          <w:color w:val="auto"/>
          <w:szCs w:val="32"/>
          <w:highlight w:val="none"/>
        </w:rPr>
        <w:t>国家中医药管理局</w:t>
      </w:r>
      <w:r>
        <w:rPr>
          <w:rFonts w:hint="eastAsia" w:cs="仿宋_GB2312"/>
          <w:color w:val="auto"/>
          <w:kern w:val="0"/>
          <w:szCs w:val="32"/>
          <w:highlight w:val="none"/>
          <w:lang w:bidi="ar"/>
        </w:rPr>
        <w:t>报告工作进展；</w:t>
      </w:r>
    </w:p>
    <w:p w14:paraId="4AB5EA17">
      <w:pPr>
        <w:ind w:firstLine="640"/>
        <w:rPr>
          <w:rFonts w:hint="eastAsia" w:cs="仿宋_GB2312"/>
          <w:color w:val="auto"/>
          <w:kern w:val="0"/>
          <w:szCs w:val="32"/>
          <w:highlight w:val="none"/>
          <w:lang w:bidi="ar"/>
        </w:rPr>
      </w:pPr>
      <w:r>
        <w:rPr>
          <w:rFonts w:hint="eastAsia" w:cs="仿宋_GB2312"/>
          <w:bCs/>
          <w:color w:val="auto"/>
          <w:szCs w:val="32"/>
          <w:highlight w:val="none"/>
        </w:rPr>
        <w:t>（二）指导</w:t>
      </w:r>
      <w:r>
        <w:rPr>
          <w:rFonts w:hint="eastAsia" w:cs="仿宋_GB2312"/>
          <w:color w:val="auto"/>
          <w:kern w:val="0"/>
          <w:szCs w:val="32"/>
          <w:highlight w:val="none"/>
          <w:lang w:bidi="ar"/>
        </w:rPr>
        <w:t>完善专科建设方案并监督实施；</w:t>
      </w:r>
    </w:p>
    <w:p w14:paraId="234311FD">
      <w:pPr>
        <w:ind w:firstLine="640"/>
        <w:rPr>
          <w:rFonts w:hint="eastAsia" w:cs="仿宋_GB2312"/>
          <w:bCs/>
          <w:color w:val="auto"/>
          <w:szCs w:val="32"/>
          <w:highlight w:val="none"/>
        </w:rPr>
      </w:pPr>
      <w:r>
        <w:rPr>
          <w:rFonts w:hint="eastAsia" w:cs="仿宋_GB2312"/>
          <w:bCs/>
          <w:color w:val="auto"/>
          <w:szCs w:val="32"/>
          <w:highlight w:val="none"/>
        </w:rPr>
        <w:t>（三）为专科建设提供相关政策支持，协调解决专科建设中的有关重大问题；</w:t>
      </w:r>
    </w:p>
    <w:p w14:paraId="464EC93D">
      <w:pPr>
        <w:ind w:firstLine="640"/>
        <w:rPr>
          <w:rFonts w:hint="eastAsia" w:cs="仿宋_GB2312"/>
          <w:bCs/>
          <w:color w:val="auto"/>
          <w:szCs w:val="32"/>
          <w:highlight w:val="none"/>
        </w:rPr>
      </w:pPr>
      <w:r>
        <w:rPr>
          <w:rFonts w:hint="eastAsia" w:cs="仿宋_GB2312"/>
          <w:bCs/>
          <w:color w:val="auto"/>
          <w:szCs w:val="32"/>
          <w:highlight w:val="none"/>
        </w:rPr>
        <w:t>（四）按照国家有关要求做好项目资金下达，加强对</w:t>
      </w:r>
      <w:r>
        <w:rPr>
          <w:rFonts w:hint="eastAsia"/>
          <w:color w:val="auto"/>
          <w:highlight w:val="none"/>
        </w:rPr>
        <w:t>项目资金使用管理情况的监督，确保专款专用，提升资金使用效益</w:t>
      </w:r>
      <w:r>
        <w:rPr>
          <w:rFonts w:hint="eastAsia" w:cs="仿宋_GB2312"/>
          <w:bCs/>
          <w:color w:val="auto"/>
          <w:szCs w:val="32"/>
          <w:highlight w:val="none"/>
        </w:rPr>
        <w:t>；</w:t>
      </w:r>
    </w:p>
    <w:p w14:paraId="761C3318">
      <w:pPr>
        <w:ind w:firstLine="640"/>
        <w:rPr>
          <w:rFonts w:hint="eastAsia" w:cs="仿宋_GB2312"/>
          <w:color w:val="auto"/>
          <w:kern w:val="0"/>
          <w:szCs w:val="32"/>
          <w:highlight w:val="none"/>
          <w:lang w:bidi="ar"/>
        </w:rPr>
      </w:pPr>
      <w:r>
        <w:rPr>
          <w:rFonts w:hint="eastAsia" w:cs="仿宋_GB2312"/>
          <w:color w:val="auto"/>
          <w:kern w:val="0"/>
          <w:szCs w:val="32"/>
          <w:highlight w:val="none"/>
          <w:lang w:bidi="ar"/>
        </w:rPr>
        <w:t>（五）规划布局省级中医优势专科联盟，</w:t>
      </w:r>
      <w:r>
        <w:rPr>
          <w:rFonts w:hint="eastAsia" w:cs="仿宋_GB2312"/>
          <w:bCs/>
          <w:color w:val="auto"/>
          <w:szCs w:val="32"/>
          <w:highlight w:val="none"/>
        </w:rPr>
        <w:t>指导专科参加国家中医优势专科联合体建设；</w:t>
      </w:r>
    </w:p>
    <w:p w14:paraId="1E4BB326">
      <w:pPr>
        <w:ind w:firstLine="640"/>
        <w:rPr>
          <w:rFonts w:hint="eastAsia" w:cs="仿宋_GB2312"/>
          <w:bCs/>
          <w:color w:val="auto"/>
          <w:szCs w:val="32"/>
          <w:highlight w:val="none"/>
        </w:rPr>
      </w:pPr>
      <w:r>
        <w:rPr>
          <w:rFonts w:hint="eastAsia" w:cs="仿宋_GB2312"/>
          <w:bCs/>
          <w:color w:val="auto"/>
          <w:szCs w:val="32"/>
          <w:highlight w:val="none"/>
        </w:rPr>
        <w:t>（六）完成国家中医药管理局委托和指定的其他任务。</w:t>
      </w:r>
    </w:p>
    <w:p w14:paraId="6A689153">
      <w:pPr>
        <w:ind w:firstLine="640"/>
        <w:rPr>
          <w:rFonts w:hint="eastAsia" w:cs="仿宋_GB2312"/>
          <w:bCs/>
          <w:color w:val="auto"/>
          <w:szCs w:val="32"/>
          <w:highlight w:val="none"/>
        </w:rPr>
      </w:pPr>
      <w:r>
        <w:rPr>
          <w:rFonts w:hint="eastAsia" w:cs="仿宋_GB2312"/>
          <w:bCs/>
          <w:color w:val="auto"/>
          <w:szCs w:val="32"/>
          <w:highlight w:val="none"/>
        </w:rPr>
        <w:t>地市级、县级中医药主管部门在省级中医药主管部门统筹安排下，做好辖区内专科建设的相关管理工作。</w:t>
      </w:r>
    </w:p>
    <w:p w14:paraId="21766DA3">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第六条  </w:t>
      </w:r>
      <w:r>
        <w:rPr>
          <w:rFonts w:hint="eastAsia" w:cs="仿宋_GB2312"/>
          <w:bCs/>
          <w:color w:val="auto"/>
          <w:szCs w:val="32"/>
          <w:highlight w:val="none"/>
        </w:rPr>
        <w:t>专科所在医院</w:t>
      </w:r>
      <w:r>
        <w:rPr>
          <w:rFonts w:hint="eastAsia" w:cs="仿宋_GB2312"/>
          <w:bCs/>
          <w:color w:val="auto"/>
          <w:szCs w:val="32"/>
          <w:highlight w:val="none"/>
          <w:lang w:val="en-US" w:eastAsia="zh-CN"/>
        </w:rPr>
        <w:t>承担专科建设的主体责任，</w:t>
      </w:r>
      <w:r>
        <w:rPr>
          <w:rFonts w:hint="eastAsia" w:cs="仿宋_GB2312"/>
          <w:bCs/>
          <w:color w:val="auto"/>
          <w:szCs w:val="32"/>
          <w:highlight w:val="none"/>
        </w:rPr>
        <w:t>具体负责项目的实施和推进，主要职责是：</w:t>
      </w:r>
    </w:p>
    <w:p w14:paraId="33D5D1E9">
      <w:pPr>
        <w:ind w:firstLine="640"/>
        <w:rPr>
          <w:rFonts w:hint="eastAsia" w:cs="仿宋_GB2312"/>
          <w:bCs/>
          <w:color w:val="auto"/>
          <w:szCs w:val="32"/>
          <w:highlight w:val="none"/>
        </w:rPr>
      </w:pPr>
      <w:r>
        <w:rPr>
          <w:rFonts w:hint="eastAsia" w:cs="仿宋_GB2312"/>
          <w:bCs/>
          <w:color w:val="auto"/>
          <w:szCs w:val="32"/>
          <w:highlight w:val="none"/>
        </w:rPr>
        <w:t>（一）将专科建设纳入医院发展规划，拟定具体专科建设方案并组织实施，定期研究解决专科建设中的问题，明确分管领导并指定专职部门负责专科建设日常管理事务；</w:t>
      </w:r>
    </w:p>
    <w:p w14:paraId="5FAAE357">
      <w:pPr>
        <w:ind w:firstLine="640"/>
        <w:rPr>
          <w:rFonts w:hint="eastAsia" w:cs="仿宋_GB2312"/>
          <w:bCs/>
          <w:color w:val="auto"/>
          <w:szCs w:val="32"/>
          <w:highlight w:val="none"/>
        </w:rPr>
      </w:pPr>
      <w:r>
        <w:rPr>
          <w:rFonts w:hint="eastAsia" w:cs="仿宋_GB2312"/>
          <w:bCs/>
          <w:color w:val="auto"/>
          <w:szCs w:val="32"/>
          <w:highlight w:val="none"/>
        </w:rPr>
        <w:t>（二）建立健全专科内部管理规章制度，将专科建设成效纳入所在科室绩效考核；</w:t>
      </w:r>
    </w:p>
    <w:p w14:paraId="6313FE79">
      <w:pPr>
        <w:ind w:firstLine="640"/>
        <w:rPr>
          <w:rFonts w:hint="eastAsia" w:cs="仿宋_GB2312"/>
          <w:bCs/>
          <w:color w:val="auto"/>
          <w:szCs w:val="32"/>
          <w:highlight w:val="none"/>
        </w:rPr>
      </w:pPr>
      <w:r>
        <w:rPr>
          <w:rFonts w:hint="eastAsia" w:cs="仿宋_GB2312"/>
          <w:bCs/>
          <w:color w:val="auto"/>
          <w:szCs w:val="32"/>
          <w:highlight w:val="none"/>
        </w:rPr>
        <w:t>（三）严格按照项目建设方案合法、合规使用建设资金，确保专款专用，提高资金使用效益；</w:t>
      </w:r>
    </w:p>
    <w:p w14:paraId="306404FC">
      <w:pPr>
        <w:ind w:firstLine="640"/>
        <w:rPr>
          <w:rFonts w:hint="eastAsia" w:cs="仿宋_GB2312"/>
          <w:bCs/>
          <w:color w:val="auto"/>
          <w:szCs w:val="32"/>
          <w:highlight w:val="none"/>
        </w:rPr>
      </w:pPr>
      <w:r>
        <w:rPr>
          <w:rFonts w:hint="eastAsia" w:cs="仿宋_GB2312"/>
          <w:bCs/>
          <w:color w:val="auto"/>
          <w:szCs w:val="32"/>
          <w:highlight w:val="none"/>
        </w:rPr>
        <w:t>（四）在硬件建设、人员配置、人才培养、科技创新、信息化建设等方面为专科建设提供保障，在新技术引进、使用和推广方面对专科予以倾斜，支持专科研制医疗机构中药制剂，推进专科研制的医疗机构中药制剂转化为中药新药；</w:t>
      </w:r>
    </w:p>
    <w:p w14:paraId="5ADB7FE5">
      <w:pPr>
        <w:ind w:firstLine="640"/>
        <w:rPr>
          <w:rFonts w:hint="eastAsia" w:cs="仿宋_GB2312"/>
          <w:bCs/>
          <w:color w:val="auto"/>
          <w:szCs w:val="32"/>
          <w:highlight w:val="none"/>
        </w:rPr>
      </w:pPr>
      <w:r>
        <w:rPr>
          <w:rFonts w:hint="eastAsia" w:cs="仿宋_GB2312"/>
          <w:bCs/>
          <w:color w:val="auto"/>
          <w:szCs w:val="32"/>
          <w:highlight w:val="none"/>
        </w:rPr>
        <w:t>（五）定期组织开展自评估，接受上级中医药主管部门的指导、监督和评估等工作，及时报告建设中的重大问题，完成上级中医药主管部门指定的其他任务。专科所在医院为高校附属医院的，同时接受高校的管理和指导。</w:t>
      </w:r>
    </w:p>
    <w:p w14:paraId="6D16DC34">
      <w:pPr>
        <w:ind w:firstLine="640"/>
        <w:rPr>
          <w:rFonts w:hint="eastAsia" w:hAnsi="仿宋"/>
          <w:color w:val="auto"/>
          <w:szCs w:val="32"/>
          <w:highlight w:val="none"/>
        </w:rPr>
      </w:pPr>
    </w:p>
    <w:p w14:paraId="224975CD">
      <w:pPr>
        <w:ind w:firstLine="0" w:firstLineChars="0"/>
        <w:jc w:val="center"/>
        <w:rPr>
          <w:rFonts w:hint="eastAsia" w:ascii="黑体" w:hAnsi="黑体" w:eastAsia="黑体" w:cs="黑体"/>
          <w:color w:val="auto"/>
          <w:kern w:val="0"/>
          <w:szCs w:val="32"/>
          <w:highlight w:val="none"/>
          <w:lang w:bidi="ar"/>
        </w:rPr>
      </w:pPr>
      <w:r>
        <w:rPr>
          <w:rFonts w:hint="eastAsia" w:ascii="黑体" w:hAnsi="黑体" w:eastAsia="黑体" w:cs="黑体"/>
          <w:color w:val="auto"/>
          <w:kern w:val="0"/>
          <w:szCs w:val="32"/>
          <w:highlight w:val="none"/>
          <w:lang w:bidi="ar"/>
        </w:rPr>
        <w:t>第三章  遴选确定</w:t>
      </w:r>
    </w:p>
    <w:p w14:paraId="04DF65E3">
      <w:pPr>
        <w:ind w:firstLine="643"/>
        <w:rPr>
          <w:rFonts w:hint="eastAsia" w:cs="仿宋_GB2312"/>
          <w:color w:val="auto"/>
          <w:kern w:val="0"/>
          <w:szCs w:val="32"/>
          <w:highlight w:val="none"/>
          <w:lang w:bidi="ar"/>
        </w:rPr>
      </w:pPr>
      <w:r>
        <w:rPr>
          <w:rFonts w:hint="eastAsia" w:ascii="楷体_GB2312" w:hAnsi="黑体" w:eastAsia="楷体_GB2312" w:cs="黑体"/>
          <w:b/>
          <w:bCs/>
          <w:color w:val="auto"/>
          <w:kern w:val="0"/>
          <w:szCs w:val="32"/>
          <w:highlight w:val="none"/>
          <w:lang w:bidi="ar"/>
        </w:rPr>
        <w:t xml:space="preserve">第七条  </w:t>
      </w:r>
      <w:r>
        <w:rPr>
          <w:rFonts w:hint="eastAsia" w:cs="仿宋_GB2312"/>
          <w:color w:val="auto"/>
          <w:kern w:val="0"/>
          <w:szCs w:val="32"/>
          <w:highlight w:val="none"/>
          <w:lang w:bidi="ar"/>
        </w:rPr>
        <w:t>专科遴选确定工作包括制定遴选标准、申报推荐、审核遴选等。</w:t>
      </w:r>
    </w:p>
    <w:p w14:paraId="61B68C0F">
      <w:pPr>
        <w:ind w:firstLine="640"/>
        <w:rPr>
          <w:rFonts w:hint="eastAsia" w:cs="仿宋_GB2312"/>
          <w:color w:val="auto"/>
          <w:kern w:val="0"/>
          <w:szCs w:val="32"/>
          <w:highlight w:val="none"/>
          <w:lang w:bidi="ar"/>
        </w:rPr>
      </w:pPr>
      <w:r>
        <w:rPr>
          <w:rFonts w:hint="eastAsia" w:cs="仿宋_GB2312"/>
          <w:color w:val="auto"/>
          <w:kern w:val="0"/>
          <w:szCs w:val="32"/>
          <w:highlight w:val="none"/>
          <w:lang w:bidi="ar"/>
        </w:rPr>
        <w:t>（一）国家中医药管理局医政司会同</w:t>
      </w:r>
      <w:r>
        <w:rPr>
          <w:rFonts w:hint="eastAsia" w:cs="仿宋_GB2312"/>
          <w:bCs/>
          <w:color w:val="auto"/>
          <w:szCs w:val="32"/>
          <w:highlight w:val="none"/>
        </w:rPr>
        <w:t>中西医结合与少数民族医药司</w:t>
      </w:r>
      <w:r>
        <w:rPr>
          <w:rFonts w:hint="eastAsia" w:cs="仿宋_GB2312"/>
          <w:color w:val="auto"/>
          <w:kern w:val="0"/>
          <w:szCs w:val="32"/>
          <w:highlight w:val="none"/>
          <w:lang w:bidi="ar"/>
        </w:rPr>
        <w:t>制定遴选标准、印发申报通知；</w:t>
      </w:r>
    </w:p>
    <w:p w14:paraId="6F8E348E">
      <w:pPr>
        <w:ind w:firstLine="640"/>
        <w:rPr>
          <w:rFonts w:hint="eastAsia" w:cs="仿宋_GB2312"/>
          <w:color w:val="auto"/>
          <w:kern w:val="0"/>
          <w:szCs w:val="32"/>
          <w:highlight w:val="none"/>
          <w:lang w:bidi="ar"/>
        </w:rPr>
      </w:pPr>
      <w:r>
        <w:rPr>
          <w:rFonts w:hint="eastAsia" w:cs="仿宋_GB2312"/>
          <w:color w:val="auto"/>
          <w:kern w:val="0"/>
          <w:szCs w:val="32"/>
          <w:highlight w:val="none"/>
          <w:lang w:bidi="ar"/>
        </w:rPr>
        <w:t>（二）各省级中医药主管部门按照申报要求组织符合条件的专科进行申报，对申报材料进行形式审查、初审、公示后报送国家中医药管理局。各地对申报书及佐证材料的真实性、合法合规性等负责；</w:t>
      </w:r>
    </w:p>
    <w:p w14:paraId="527FC48D">
      <w:pPr>
        <w:ind w:firstLine="640"/>
        <w:rPr>
          <w:rFonts w:hint="eastAsia" w:cs="仿宋_GB2312"/>
          <w:color w:val="auto"/>
          <w:kern w:val="0"/>
          <w:szCs w:val="32"/>
          <w:highlight w:val="none"/>
          <w:lang w:bidi="ar"/>
        </w:rPr>
      </w:pPr>
      <w:r>
        <w:rPr>
          <w:rFonts w:hint="eastAsia" w:cs="仿宋_GB2312"/>
          <w:color w:val="auto"/>
          <w:kern w:val="0"/>
          <w:szCs w:val="32"/>
          <w:highlight w:val="none"/>
          <w:lang w:bidi="ar"/>
        </w:rPr>
        <w:t>（三）国家中医药管理局医政司会同中西医结合与少数民族医药司</w:t>
      </w:r>
      <w:r>
        <w:rPr>
          <w:rFonts w:hint="eastAsia" w:hAnsi="仿宋"/>
          <w:color w:val="auto"/>
          <w:szCs w:val="32"/>
          <w:highlight w:val="none"/>
        </w:rPr>
        <w:t>综合运用形式审查、客观指标评审和同行评议等方式</w:t>
      </w:r>
      <w:r>
        <w:rPr>
          <w:rFonts w:hint="eastAsia" w:cs="仿宋_GB2312"/>
          <w:color w:val="auto"/>
          <w:kern w:val="0"/>
          <w:szCs w:val="32"/>
          <w:highlight w:val="none"/>
          <w:lang w:bidi="ar"/>
        </w:rPr>
        <w:t>开展遴选，根据遴选结果提出建议名单，经国家中医药管理局局长会议审议</w:t>
      </w:r>
      <w:bookmarkStart w:id="0" w:name="OLE_LINK39"/>
      <w:r>
        <w:rPr>
          <w:rFonts w:hint="eastAsia" w:cs="仿宋_GB2312"/>
          <w:color w:val="auto"/>
          <w:kern w:val="0"/>
          <w:szCs w:val="32"/>
          <w:highlight w:val="none"/>
          <w:lang w:bidi="ar"/>
        </w:rPr>
        <w:t>并</w:t>
      </w:r>
      <w:bookmarkEnd w:id="0"/>
      <w:r>
        <w:rPr>
          <w:rFonts w:hint="eastAsia" w:cs="仿宋_GB2312"/>
          <w:color w:val="auto"/>
          <w:kern w:val="0"/>
          <w:szCs w:val="32"/>
          <w:highlight w:val="none"/>
          <w:lang w:bidi="ar"/>
        </w:rPr>
        <w:t>公示后</w:t>
      </w:r>
      <w:bookmarkStart w:id="1" w:name="OLE_LINK38"/>
      <w:r>
        <w:rPr>
          <w:rFonts w:hint="eastAsia" w:cs="仿宋_GB2312"/>
          <w:color w:val="auto"/>
          <w:kern w:val="0"/>
          <w:szCs w:val="32"/>
          <w:highlight w:val="none"/>
          <w:lang w:bidi="ar"/>
        </w:rPr>
        <w:t>确定</w:t>
      </w:r>
      <w:bookmarkEnd w:id="1"/>
      <w:r>
        <w:rPr>
          <w:rFonts w:hint="eastAsia" w:cs="仿宋_GB2312"/>
          <w:color w:val="auto"/>
          <w:kern w:val="0"/>
          <w:szCs w:val="32"/>
          <w:highlight w:val="none"/>
          <w:lang w:bidi="ar"/>
        </w:rPr>
        <w:t>为国家中医优势专科建设单位或培育单位；</w:t>
      </w:r>
    </w:p>
    <w:p w14:paraId="1DD774C0">
      <w:pPr>
        <w:ind w:firstLine="640"/>
        <w:rPr>
          <w:rFonts w:hint="eastAsia" w:cs="仿宋_GB2312"/>
          <w:color w:val="auto"/>
          <w:kern w:val="0"/>
          <w:szCs w:val="32"/>
          <w:highlight w:val="none"/>
          <w:lang w:bidi="ar"/>
        </w:rPr>
      </w:pPr>
      <w:r>
        <w:rPr>
          <w:rFonts w:hint="eastAsia" w:cs="仿宋_GB2312"/>
          <w:color w:val="auto"/>
          <w:kern w:val="0"/>
          <w:szCs w:val="32"/>
          <w:highlight w:val="none"/>
          <w:lang w:bidi="ar"/>
        </w:rPr>
        <w:t>（四）中医类国家区域医疗中心输出医院通过输出国家中医优势专科人才、技术、管理等方式建设的国家区域医疗中心项目医院相关专科，经国家中医药管理局审核确定为国家中医优势专科培育单位。</w:t>
      </w:r>
    </w:p>
    <w:p w14:paraId="1F0A37B5">
      <w:pPr>
        <w:ind w:firstLine="0" w:firstLineChars="0"/>
        <w:jc w:val="center"/>
        <w:rPr>
          <w:rFonts w:hint="eastAsia" w:ascii="黑体" w:hAnsi="仿宋" w:eastAsia="黑体"/>
          <w:color w:val="auto"/>
          <w:szCs w:val="32"/>
          <w:highlight w:val="none"/>
        </w:rPr>
      </w:pPr>
    </w:p>
    <w:p w14:paraId="0394C6DC">
      <w:pPr>
        <w:ind w:firstLine="0" w:firstLineChars="0"/>
        <w:jc w:val="center"/>
        <w:rPr>
          <w:rFonts w:hint="eastAsia" w:ascii="黑体" w:hAnsi="仿宋" w:eastAsia="黑体"/>
          <w:color w:val="auto"/>
          <w:szCs w:val="32"/>
          <w:highlight w:val="none"/>
        </w:rPr>
      </w:pPr>
      <w:r>
        <w:rPr>
          <w:rFonts w:hint="eastAsia" w:ascii="黑体" w:hAnsi="仿宋" w:eastAsia="黑体"/>
          <w:color w:val="auto"/>
          <w:szCs w:val="32"/>
          <w:highlight w:val="none"/>
        </w:rPr>
        <w:t>第四章  建设任务</w:t>
      </w:r>
    </w:p>
    <w:p w14:paraId="5E2EC4E2">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第八条  </w:t>
      </w:r>
      <w:r>
        <w:rPr>
          <w:rFonts w:hint="eastAsia" w:cs="仿宋_GB2312"/>
          <w:bCs/>
          <w:color w:val="auto"/>
          <w:szCs w:val="32"/>
          <w:highlight w:val="none"/>
        </w:rPr>
        <w:t>提升</w:t>
      </w:r>
      <w:r>
        <w:rPr>
          <w:rFonts w:cs="仿宋_GB2312"/>
          <w:bCs/>
          <w:color w:val="auto"/>
          <w:szCs w:val="32"/>
          <w:highlight w:val="none"/>
        </w:rPr>
        <w:t>医疗服务能力</w:t>
      </w:r>
      <w:r>
        <w:rPr>
          <w:rFonts w:hint="eastAsia" w:cs="仿宋_GB2312"/>
          <w:bCs/>
          <w:color w:val="auto"/>
          <w:szCs w:val="32"/>
          <w:highlight w:val="none"/>
        </w:rPr>
        <w:t>。坚持以中医药服务为主，以提高临床疗效为根本，针对中医治疗具有优势的疾病和疾病防治的关键阶段及环节，确定优势病种和主攻方向，总结临床经验，制定优化诊疗方案并推广应用，鼓励将成熟的中医诊疗方案、专家共识、技术操作规范等转化为国家标准或行业标准，并推广应用。鼓励设置专病门诊。探索制定并不断完善符合中医药特点、彰显中医药优势、共识度高的疗效评价标准。</w:t>
      </w:r>
    </w:p>
    <w:p w14:paraId="0A237453">
      <w:pPr>
        <w:ind w:firstLine="640"/>
        <w:rPr>
          <w:rFonts w:hint="eastAsia" w:cs="仿宋_GB2312"/>
          <w:bCs/>
          <w:color w:val="auto"/>
          <w:szCs w:val="32"/>
          <w:highlight w:val="none"/>
        </w:rPr>
      </w:pPr>
      <w:r>
        <w:rPr>
          <w:rFonts w:hint="eastAsia" w:cs="仿宋_GB2312"/>
          <w:bCs/>
          <w:color w:val="auto"/>
          <w:szCs w:val="32"/>
          <w:highlight w:val="none"/>
        </w:rPr>
        <w:t>加强专科综合服务能力建设，</w:t>
      </w:r>
      <w:r>
        <w:rPr>
          <w:rFonts w:hint="eastAsia" w:hAnsi="仿宋"/>
          <w:color w:val="auto"/>
          <w:szCs w:val="32"/>
          <w:highlight w:val="none"/>
        </w:rPr>
        <w:t>及时跟踪现代科学技术和现代医学进展，应用过程中注重与中医药理论、方法有机结合</w:t>
      </w:r>
      <w:r>
        <w:rPr>
          <w:rFonts w:hint="eastAsia" w:cs="仿宋_GB2312"/>
          <w:bCs/>
          <w:color w:val="auto"/>
          <w:szCs w:val="32"/>
          <w:highlight w:val="none"/>
        </w:rPr>
        <w:t>，提高重大疑难疾病的诊疗能力和疗效水平。</w:t>
      </w:r>
    </w:p>
    <w:p w14:paraId="143BD3DC">
      <w:pPr>
        <w:ind w:firstLine="640"/>
        <w:rPr>
          <w:rFonts w:hint="eastAsia" w:cs="仿宋_GB2312"/>
          <w:bCs/>
          <w:color w:val="auto"/>
          <w:szCs w:val="32"/>
          <w:highlight w:val="none"/>
        </w:rPr>
      </w:pPr>
      <w:r>
        <w:rPr>
          <w:rFonts w:hint="eastAsia" w:cs="仿宋_GB2312"/>
          <w:bCs/>
          <w:color w:val="auto"/>
          <w:szCs w:val="32"/>
          <w:highlight w:val="none"/>
        </w:rPr>
        <w:t>积极开展诊疗模式创新，通过多学科联合诊疗、中医综合治疗、全周期全链条服务等，探索符合中医规律、体现中医特点、提高中医疗效、方便患者就医的诊疗模式。</w:t>
      </w:r>
      <w:r>
        <w:rPr>
          <w:rFonts w:hint="eastAsia" w:hAnsi="仿宋"/>
          <w:color w:val="auto"/>
          <w:szCs w:val="32"/>
          <w:highlight w:val="none"/>
        </w:rPr>
        <w:t>鼓励结合专科特色开展中医护理门诊试点。</w:t>
      </w:r>
    </w:p>
    <w:p w14:paraId="393B0BD1">
      <w:pPr>
        <w:ind w:firstLine="643"/>
        <w:rPr>
          <w:rFonts w:hint="eastAsia" w:cs="仿宋_GB2312"/>
          <w:bCs/>
          <w:color w:val="auto"/>
          <w:szCs w:val="32"/>
          <w:highlight w:val="none"/>
        </w:rPr>
      </w:pPr>
      <w:r>
        <w:rPr>
          <w:rFonts w:hint="eastAsia" w:ascii="楷体_GB2312" w:hAnsi="楷体_GB2312" w:eastAsia="楷体_GB2312" w:cs="楷体_GB2312"/>
          <w:b/>
          <w:color w:val="auto"/>
          <w:szCs w:val="32"/>
          <w:highlight w:val="none"/>
        </w:rPr>
        <w:t xml:space="preserve">第九条  </w:t>
      </w:r>
      <w:r>
        <w:rPr>
          <w:rFonts w:hint="eastAsia" w:cs="仿宋_GB2312"/>
          <w:bCs/>
          <w:color w:val="auto"/>
          <w:szCs w:val="32"/>
          <w:highlight w:val="none"/>
        </w:rPr>
        <w:t>加强人才队伍建设和学术传承。选优配强科室负责人和学术带头人。聚焦专科长期建设和发展需要，通过师承、人才引进、进修、培训、学术交流等形式，加强专科团队</w:t>
      </w:r>
      <w:r>
        <w:rPr>
          <w:rFonts w:hint="eastAsia" w:cs="仿宋_GB2312"/>
          <w:bCs/>
          <w:color w:val="auto"/>
          <w:szCs w:val="32"/>
          <w:highlight w:val="none"/>
          <w:lang w:eastAsia="zh-CN"/>
        </w:rPr>
        <w:t>，</w:t>
      </w:r>
      <w:r>
        <w:rPr>
          <w:rFonts w:hint="eastAsia" w:cs="仿宋_GB2312"/>
          <w:bCs/>
          <w:color w:val="auto"/>
          <w:szCs w:val="32"/>
          <w:highlight w:val="none"/>
          <w:lang w:val="en-US" w:eastAsia="zh-CN"/>
        </w:rPr>
        <w:t>特别是骨干人才</w:t>
      </w:r>
      <w:r>
        <w:rPr>
          <w:rFonts w:hint="eastAsia" w:cs="仿宋_GB2312"/>
          <w:bCs/>
          <w:color w:val="auto"/>
          <w:szCs w:val="32"/>
          <w:highlight w:val="none"/>
        </w:rPr>
        <w:t>建设，形成由专科学术带头人、科室负责人、亚专科带头人和专科后备骨干组成的结构合理、层次清晰的人才梯队。</w:t>
      </w:r>
    </w:p>
    <w:p w14:paraId="7BDCCC0F">
      <w:pPr>
        <w:ind w:firstLine="640"/>
        <w:rPr>
          <w:rFonts w:hint="eastAsia" w:cs="仿宋_GB2312"/>
          <w:bCs/>
          <w:color w:val="auto"/>
          <w:szCs w:val="32"/>
          <w:highlight w:val="none"/>
        </w:rPr>
      </w:pPr>
      <w:r>
        <w:rPr>
          <w:rFonts w:hint="eastAsia" w:cs="仿宋_GB2312"/>
          <w:bCs/>
          <w:color w:val="auto"/>
          <w:szCs w:val="32"/>
          <w:highlight w:val="none"/>
        </w:rPr>
        <w:t>加强名老中医学术思想、临床经验和特色技术的活态传承，定期开展中医典型医案分析，总结临床诊疗经验，建设一批名中医工作室。</w:t>
      </w:r>
      <w:r>
        <w:rPr>
          <w:rFonts w:hint="eastAsia" w:hAnsi="仿宋"/>
          <w:color w:val="auto"/>
          <w:szCs w:val="32"/>
          <w:highlight w:val="none"/>
        </w:rPr>
        <w:t>开展“学经典、用经典”活动，加强中医“三基”训练，强化医师中医诊疗思维</w:t>
      </w:r>
      <w:r>
        <w:rPr>
          <w:rFonts w:hint="eastAsia" w:cs="仿宋_GB2312"/>
          <w:bCs/>
          <w:color w:val="auto"/>
          <w:szCs w:val="32"/>
          <w:highlight w:val="none"/>
        </w:rPr>
        <w:t>。</w:t>
      </w:r>
    </w:p>
    <w:p w14:paraId="78E75BA8">
      <w:pPr>
        <w:ind w:firstLine="643"/>
        <w:rPr>
          <w:rFonts w:hint="eastAsia" w:hAnsi="仿宋"/>
          <w:color w:val="auto"/>
          <w:szCs w:val="32"/>
          <w:highlight w:val="none"/>
        </w:rPr>
      </w:pPr>
      <w:r>
        <w:rPr>
          <w:rFonts w:hint="eastAsia" w:ascii="楷体_GB2312" w:hAnsi="楷体_GB2312" w:eastAsia="楷体_GB2312" w:cs="楷体_GB2312"/>
          <w:b/>
          <w:bCs/>
          <w:color w:val="auto"/>
          <w:szCs w:val="32"/>
          <w:highlight w:val="none"/>
        </w:rPr>
        <w:t xml:space="preserve">第十条  </w:t>
      </w:r>
      <w:r>
        <w:rPr>
          <w:rFonts w:hint="eastAsia" w:cs="仿宋_GB2312"/>
          <w:bCs/>
          <w:color w:val="auto"/>
          <w:szCs w:val="32"/>
          <w:highlight w:val="none"/>
        </w:rPr>
        <w:t>加强临床科研能力建设。坚持科研与临床相结合，提升</w:t>
      </w:r>
      <w:r>
        <w:rPr>
          <w:rFonts w:hint="eastAsia" w:cs="仿宋_GB2312"/>
          <w:color w:val="auto"/>
          <w:szCs w:val="40"/>
          <w:highlight w:val="none"/>
        </w:rPr>
        <w:t>临床病例信息、科研数据信息规范化采集、系统化分析能力。围绕临床问题开展循证医学研究，</w:t>
      </w:r>
      <w:r>
        <w:rPr>
          <w:rFonts w:hint="eastAsia" w:hAnsi="仿宋"/>
          <w:color w:val="auto"/>
          <w:szCs w:val="32"/>
          <w:highlight w:val="none"/>
        </w:rPr>
        <w:t>重视高级别临床证据，</w:t>
      </w:r>
      <w:r>
        <w:rPr>
          <w:rFonts w:hint="eastAsia" w:cs="仿宋_GB2312"/>
          <w:bCs/>
          <w:color w:val="auto"/>
          <w:szCs w:val="32"/>
          <w:highlight w:val="none"/>
        </w:rPr>
        <w:t>积极开展</w:t>
      </w:r>
      <w:r>
        <w:rPr>
          <w:rFonts w:hint="eastAsia" w:hAnsi="仿宋"/>
          <w:color w:val="auto"/>
          <w:szCs w:val="32"/>
          <w:highlight w:val="none"/>
        </w:rPr>
        <w:t>中医医疗技术和</w:t>
      </w:r>
      <w:r>
        <w:rPr>
          <w:rFonts w:hint="eastAsia" w:cs="仿宋_GB2312"/>
          <w:bCs/>
          <w:color w:val="auto"/>
          <w:szCs w:val="32"/>
          <w:highlight w:val="none"/>
        </w:rPr>
        <w:t>诊疗设施设备创新</w:t>
      </w:r>
      <w:r>
        <w:rPr>
          <w:rFonts w:hint="eastAsia" w:hAnsi="仿宋"/>
          <w:color w:val="auto"/>
          <w:szCs w:val="32"/>
          <w:highlight w:val="none"/>
        </w:rPr>
        <w:t>，大力研发</w:t>
      </w:r>
      <w:r>
        <w:rPr>
          <w:rFonts w:hint="eastAsia" w:cs="仿宋_GB2312"/>
          <w:bCs/>
          <w:color w:val="auto"/>
          <w:szCs w:val="32"/>
          <w:highlight w:val="none"/>
        </w:rPr>
        <w:t>专科</w:t>
      </w:r>
      <w:r>
        <w:rPr>
          <w:rFonts w:hint="eastAsia" w:cs="仿宋_GB2312"/>
          <w:color w:val="auto"/>
          <w:szCs w:val="40"/>
          <w:highlight w:val="none"/>
        </w:rPr>
        <w:t>医疗机构中药制剂和中药新药，</w:t>
      </w:r>
      <w:r>
        <w:rPr>
          <w:rFonts w:hint="eastAsia" w:cs="仿宋_GB2312"/>
          <w:bCs/>
          <w:color w:val="auto"/>
          <w:szCs w:val="32"/>
          <w:highlight w:val="none"/>
        </w:rPr>
        <w:t>推动中医药科研成果转化。鼓励有条件的医院设立中医优势专科临床科研能力提升专项经费。</w:t>
      </w:r>
    </w:p>
    <w:p w14:paraId="2B385B51">
      <w:pPr>
        <w:ind w:firstLine="643"/>
        <w:rPr>
          <w:rFonts w:hint="eastAsia" w:cs="仿宋_GB2312"/>
          <w:bCs/>
          <w:color w:val="auto"/>
          <w:szCs w:val="32"/>
          <w:highlight w:val="none"/>
        </w:rPr>
      </w:pPr>
      <w:r>
        <w:rPr>
          <w:rStyle w:val="11"/>
          <w:rFonts w:hint="default"/>
          <w:color w:val="auto"/>
          <w:highlight w:val="none"/>
        </w:rPr>
        <w:t>第十一条</w:t>
      </w:r>
      <w:r>
        <w:rPr>
          <w:rFonts w:hint="eastAsia" w:hAnsi="仿宋"/>
          <w:color w:val="auto"/>
          <w:szCs w:val="32"/>
          <w:highlight w:val="none"/>
        </w:rPr>
        <w:t xml:space="preserve">  开展中医优势</w:t>
      </w:r>
      <w:r>
        <w:rPr>
          <w:rFonts w:hint="eastAsia" w:cs="仿宋_GB2312"/>
          <w:bCs/>
          <w:color w:val="auto"/>
          <w:szCs w:val="32"/>
          <w:highlight w:val="none"/>
        </w:rPr>
        <w:t>专科集群建设。按照国家有关要求参加国家中医优势专科联合体，参与制定优化本专业中医诊疗标准规范并推广应用。在重大疑难疾病诊疗方面开展医、教、研等多方位交流合作。</w:t>
      </w:r>
    </w:p>
    <w:p w14:paraId="50E944F1">
      <w:pPr>
        <w:ind w:firstLine="640"/>
        <w:rPr>
          <w:rFonts w:hint="eastAsia" w:cs="仿宋_GB2312"/>
          <w:bCs/>
          <w:color w:val="auto"/>
          <w:szCs w:val="32"/>
          <w:highlight w:val="none"/>
        </w:rPr>
      </w:pPr>
      <w:r>
        <w:rPr>
          <w:rFonts w:hint="eastAsia" w:cs="仿宋_GB2312"/>
          <w:bCs/>
          <w:color w:val="auto"/>
          <w:szCs w:val="32"/>
          <w:highlight w:val="none"/>
        </w:rPr>
        <w:t>牵头组建区域中医优势专科联盟和省级中医优势专科联盟，加强对区域内其他医疗机构及对口帮扶的医疗机构同专业专科建设的指导，通过远程会诊、科研协作、定期巡诊、学术交流等，推广诊疗方案、特色技术、名老中医学术思想和临床经验等，引领带动相关专科协同发展。通过专科骨干人才培训、接收联盟成员单位人员进修等推动联盟内同专业人才培养。</w:t>
      </w:r>
    </w:p>
    <w:p w14:paraId="1156FDAD">
      <w:pPr>
        <w:ind w:firstLine="643"/>
        <w:rPr>
          <w:rFonts w:hint="eastAsia" w:cs="仿宋_GB2312"/>
          <w:bCs/>
          <w:color w:val="auto"/>
          <w:szCs w:val="32"/>
          <w:highlight w:val="none"/>
        </w:rPr>
      </w:pPr>
      <w:r>
        <w:rPr>
          <w:rFonts w:hint="eastAsia" w:ascii="楷体_GB2312" w:hAnsi="楷体_GB2312" w:eastAsia="楷体_GB2312" w:cs="楷体_GB2312"/>
          <w:b/>
          <w:bCs/>
          <w:color w:val="auto"/>
          <w:szCs w:val="32"/>
          <w:highlight w:val="none"/>
        </w:rPr>
        <w:t xml:space="preserve">第十二条  </w:t>
      </w:r>
      <w:r>
        <w:rPr>
          <w:rFonts w:hint="eastAsia" w:cs="仿宋_GB2312"/>
          <w:bCs/>
          <w:color w:val="auto"/>
          <w:szCs w:val="32"/>
          <w:highlight w:val="none"/>
        </w:rPr>
        <w:t>加强中医医疗质量安全管理。健全专科中医医疗质量安全管理体系，研究制订医疗质量安全管理与控制规划、方案，加强医疗质量安全数据收集、分析，有针对性改进问题、补齐短板，提升医疗质量，确保医疗安全。</w:t>
      </w:r>
    </w:p>
    <w:p w14:paraId="78482E0B">
      <w:pPr>
        <w:ind w:firstLine="640"/>
        <w:rPr>
          <w:rFonts w:hint="eastAsia" w:cs="仿宋_GB2312"/>
          <w:bCs/>
          <w:color w:val="auto"/>
          <w:szCs w:val="32"/>
          <w:highlight w:val="none"/>
        </w:rPr>
      </w:pPr>
      <w:r>
        <w:rPr>
          <w:rFonts w:hint="eastAsia" w:cs="仿宋_GB2312"/>
          <w:bCs/>
          <w:color w:val="auto"/>
          <w:szCs w:val="32"/>
          <w:highlight w:val="none"/>
        </w:rPr>
        <w:t>按照中医质控指标和质量安全管理要求，积极参与国家和省级中医质控体系建设，参与制定专科质控指标、标准和质量安全管理要求，推动中医药服务规范化建设，保障医疗质量和患者安全。</w:t>
      </w:r>
    </w:p>
    <w:p w14:paraId="5E11F50C">
      <w:pPr>
        <w:ind w:firstLine="643"/>
        <w:rPr>
          <w:rFonts w:hint="eastAsia" w:cs="仿宋_GB2312"/>
          <w:bCs/>
          <w:color w:val="auto"/>
          <w:szCs w:val="32"/>
          <w:highlight w:val="none"/>
        </w:rPr>
      </w:pPr>
      <w:r>
        <w:rPr>
          <w:rFonts w:hint="eastAsia" w:ascii="楷体_GB2312" w:hAnsi="楷体_GB2312" w:eastAsia="楷体_GB2312" w:cs="楷体_GB2312"/>
          <w:b/>
          <w:color w:val="auto"/>
          <w:szCs w:val="32"/>
          <w:highlight w:val="none"/>
        </w:rPr>
        <w:t xml:space="preserve">第十三条 </w:t>
      </w:r>
      <w:r>
        <w:rPr>
          <w:rFonts w:hint="eastAsia" w:cs="仿宋_GB2312"/>
          <w:bCs/>
          <w:color w:val="auto"/>
          <w:szCs w:val="32"/>
          <w:highlight w:val="none"/>
        </w:rPr>
        <w:t xml:space="preserve"> 建设中医优势病种数据库。加强信息化建设，提升医疗服务智慧化、数字化水平，依托国家中医优势专科联合体建设中医优势病种数据库，加强临床数据收集，总结疾病特点和诊疗经验，为中医优势病种诊疗方案的制定优化、临床科研、政策扶持等提供数据支撑。</w:t>
      </w:r>
    </w:p>
    <w:p w14:paraId="05C97686">
      <w:pPr>
        <w:ind w:firstLine="643"/>
        <w:rPr>
          <w:rFonts w:hint="eastAsia" w:cs="仿宋_GB2312"/>
          <w:bCs/>
          <w:color w:val="auto"/>
          <w:szCs w:val="32"/>
          <w:highlight w:val="none"/>
        </w:rPr>
      </w:pPr>
      <w:r>
        <w:rPr>
          <w:rFonts w:hint="eastAsia" w:ascii="楷体_GB2312" w:hAnsi="楷体_GB2312" w:eastAsia="楷体_GB2312" w:cs="楷体_GB2312"/>
          <w:b/>
          <w:color w:val="auto"/>
          <w:szCs w:val="32"/>
          <w:highlight w:val="none"/>
        </w:rPr>
        <w:t xml:space="preserve">第十四条 </w:t>
      </w:r>
      <w:r>
        <w:rPr>
          <w:rFonts w:hint="eastAsia" w:cs="仿宋_GB2312"/>
          <w:bCs/>
          <w:color w:val="auto"/>
          <w:szCs w:val="32"/>
          <w:highlight w:val="none"/>
        </w:rPr>
        <w:t xml:space="preserve"> 加强中医药文化建设。深入挖掘整理专科发展历史脉络、文化特色和名医的成长之路、高尚医德、先进事迹，营造积极正面、薪火相传的专科特色文化氛围。</w:t>
      </w:r>
    </w:p>
    <w:p w14:paraId="4AF261BA">
      <w:pPr>
        <w:ind w:firstLine="643"/>
        <w:rPr>
          <w:rFonts w:hint="eastAsia" w:ascii="楷体_GB2312" w:hAnsi="黑体" w:eastAsia="楷体_GB2312"/>
          <w:b/>
          <w:bCs/>
          <w:color w:val="auto"/>
          <w:szCs w:val="32"/>
          <w:highlight w:val="none"/>
        </w:rPr>
      </w:pPr>
      <w:r>
        <w:rPr>
          <w:rFonts w:hint="eastAsia" w:ascii="楷体_GB2312" w:hAnsi="黑体" w:eastAsia="楷体_GB2312"/>
          <w:b/>
          <w:bCs/>
          <w:color w:val="auto"/>
          <w:szCs w:val="32"/>
          <w:highlight w:val="none"/>
        </w:rPr>
        <w:t xml:space="preserve">第十五条  </w:t>
      </w:r>
      <w:r>
        <w:rPr>
          <w:rFonts w:hint="eastAsia" w:cs="仿宋_GB2312"/>
          <w:bCs/>
          <w:color w:val="auto"/>
          <w:szCs w:val="32"/>
          <w:highlight w:val="none"/>
        </w:rPr>
        <w:t>探索有利于发挥中医药特色优势的政策措施，在分级诊疗制度建设、中医医疗服务项目立项收费、支付方式改革、绩效考核、人才评价等方面探索实践，为完善相关政策措施提供依据。</w:t>
      </w:r>
    </w:p>
    <w:p w14:paraId="1E48346C">
      <w:pPr>
        <w:ind w:firstLine="643"/>
        <w:rPr>
          <w:rFonts w:hint="eastAsia" w:ascii="楷体_GB2312" w:hAnsi="黑体" w:eastAsia="楷体_GB2312"/>
          <w:b/>
          <w:bCs/>
          <w:color w:val="auto"/>
          <w:szCs w:val="32"/>
          <w:highlight w:val="none"/>
        </w:rPr>
      </w:pPr>
    </w:p>
    <w:p w14:paraId="019760BE">
      <w:pPr>
        <w:ind w:firstLine="0" w:firstLineChars="0"/>
        <w:jc w:val="center"/>
        <w:rPr>
          <w:rFonts w:hint="eastAsia" w:ascii="黑体" w:hAnsi="黑体" w:eastAsia="黑体"/>
          <w:color w:val="auto"/>
          <w:szCs w:val="32"/>
          <w:highlight w:val="none"/>
        </w:rPr>
      </w:pPr>
      <w:r>
        <w:rPr>
          <w:rFonts w:hint="eastAsia" w:ascii="黑体" w:hAnsi="黑体" w:eastAsia="黑体"/>
          <w:color w:val="auto"/>
          <w:szCs w:val="32"/>
          <w:highlight w:val="none"/>
        </w:rPr>
        <w:t>第五章  评估管理</w:t>
      </w:r>
    </w:p>
    <w:p w14:paraId="67D2E5DA">
      <w:pPr>
        <w:ind w:firstLine="643"/>
        <w:rPr>
          <w:rFonts w:hint="eastAsia" w:ascii="楷体_GB2312" w:hAnsi="仿宋" w:eastAsia="楷体_GB2312"/>
          <w:b/>
          <w:bCs/>
          <w:color w:val="auto"/>
          <w:szCs w:val="32"/>
          <w:highlight w:val="none"/>
        </w:rPr>
      </w:pPr>
      <w:r>
        <w:rPr>
          <w:rFonts w:hint="eastAsia" w:ascii="楷体_GB2312" w:hAnsi="黑体" w:eastAsia="楷体_GB2312"/>
          <w:b/>
          <w:bCs/>
          <w:color w:val="auto"/>
          <w:szCs w:val="32"/>
          <w:highlight w:val="none"/>
        </w:rPr>
        <w:t xml:space="preserve">第十六条  </w:t>
      </w:r>
      <w:r>
        <w:rPr>
          <w:rFonts w:hint="eastAsia" w:cs="仿宋_GB2312"/>
          <w:bCs/>
          <w:color w:val="auto"/>
          <w:szCs w:val="32"/>
          <w:highlight w:val="none"/>
        </w:rPr>
        <w:t>专科建设周期为5年，</w:t>
      </w:r>
      <w:r>
        <w:rPr>
          <w:rFonts w:hint="eastAsia" w:cs="仿宋_GB2312"/>
          <w:color w:val="auto"/>
          <w:szCs w:val="32"/>
          <w:highlight w:val="none"/>
        </w:rPr>
        <w:t>专科建设成效评估方式包括年度评估、中期评估和期满评估等，参照《国家中医优势专科能力评估通用指标》，可采取客观数据分析、专家评议等形式进行。</w:t>
      </w:r>
    </w:p>
    <w:p w14:paraId="2D55C6BE">
      <w:pPr>
        <w:ind w:firstLine="643"/>
        <w:rPr>
          <w:rFonts w:hint="eastAsia" w:hAnsi="仿宋"/>
          <w:color w:val="auto"/>
          <w:szCs w:val="32"/>
          <w:highlight w:val="none"/>
        </w:rPr>
      </w:pPr>
      <w:r>
        <w:rPr>
          <w:rFonts w:hint="eastAsia" w:ascii="楷体_GB2312" w:hAnsi="仿宋" w:eastAsia="楷体_GB2312"/>
          <w:b/>
          <w:bCs/>
          <w:color w:val="auto"/>
          <w:szCs w:val="32"/>
          <w:highlight w:val="none"/>
        </w:rPr>
        <w:t xml:space="preserve">第十七条  </w:t>
      </w:r>
      <w:r>
        <w:rPr>
          <w:rFonts w:hint="eastAsia" w:cs="仿宋_GB2312"/>
          <w:bCs/>
          <w:color w:val="auto"/>
          <w:szCs w:val="32"/>
          <w:highlight w:val="none"/>
        </w:rPr>
        <w:t>年度评估包括专科所在医院组织开展的自评估和省级中医药主管部门组织开展的年度评估，每年1次。省级中医药主管部门围绕专科建设中采取的举措、取得的进展成效、存在的困难问题及下一步工作安排等形成评估报告报送国家中医药管理局。各省级中医药主管部门对辖区内的专科建设情况适时进行监督检查。</w:t>
      </w:r>
    </w:p>
    <w:p w14:paraId="698E9FD7">
      <w:pPr>
        <w:ind w:firstLine="643"/>
        <w:rPr>
          <w:rFonts w:hint="eastAsia" w:cs="仿宋_GB2312"/>
          <w:bCs/>
          <w:color w:val="auto"/>
          <w:szCs w:val="32"/>
          <w:highlight w:val="none"/>
        </w:rPr>
      </w:pPr>
      <w:r>
        <w:rPr>
          <w:rFonts w:hint="eastAsia" w:ascii="楷体_GB2312" w:hAnsi="楷体_GB2312" w:eastAsia="楷体_GB2312" w:cs="楷体_GB2312"/>
          <w:b/>
          <w:bCs/>
          <w:color w:val="auto"/>
          <w:szCs w:val="32"/>
          <w:highlight w:val="none"/>
        </w:rPr>
        <w:t xml:space="preserve">第十八条  </w:t>
      </w:r>
      <w:r>
        <w:rPr>
          <w:rFonts w:hint="eastAsia" w:cs="仿宋_GB2312"/>
          <w:bCs/>
          <w:color w:val="auto"/>
          <w:szCs w:val="32"/>
          <w:highlight w:val="none"/>
        </w:rPr>
        <w:t>中期评估、期满评估由国家中医药管理局医政司会同中西医结合与少数民族医药司依据《国家中医优势专科建设评估方案》组织实施。</w:t>
      </w:r>
    </w:p>
    <w:p w14:paraId="7983FB2F">
      <w:pPr>
        <w:ind w:firstLine="640"/>
        <w:rPr>
          <w:rFonts w:hint="eastAsia" w:cs="仿宋_GB2312"/>
          <w:bCs/>
          <w:color w:val="auto"/>
          <w:szCs w:val="32"/>
          <w:highlight w:val="none"/>
        </w:rPr>
      </w:pPr>
      <w:r>
        <w:rPr>
          <w:rFonts w:hint="eastAsia" w:cs="仿宋_GB2312"/>
          <w:bCs/>
          <w:color w:val="auto"/>
          <w:szCs w:val="32"/>
          <w:highlight w:val="none"/>
        </w:rPr>
        <w:t>中期评估重点评估项目实施进展、目标任务阶段性完成情况、建设效果等，对项目建设推进力度大、效果好的培育单位，调整纳入建设单位；对项目建设推进不力的，予以警示，限期3个月整改，整改不到位的，取消资格；对评估合格和整改到位的项目持续推进。</w:t>
      </w:r>
    </w:p>
    <w:p w14:paraId="5BF81E70">
      <w:pPr>
        <w:ind w:firstLine="640"/>
        <w:rPr>
          <w:rFonts w:hint="eastAsia" w:cs="仿宋_GB2312"/>
          <w:bCs/>
          <w:color w:val="auto"/>
          <w:szCs w:val="32"/>
          <w:highlight w:val="none"/>
        </w:rPr>
      </w:pPr>
      <w:r>
        <w:rPr>
          <w:rFonts w:hint="eastAsia" w:cs="仿宋_GB2312"/>
          <w:bCs/>
          <w:color w:val="auto"/>
          <w:szCs w:val="32"/>
          <w:highlight w:val="none"/>
        </w:rPr>
        <w:t>期满评估重点评估项目目标任务完成情况，评估结论合格的，由国家中医药管理局予以公布，正式成为国家中医优势专科，有效期为5年；评估结论不合格的，取消其资格，不得以“国家中医优势专科”或“国家中医优势专科建设单位”</w:t>
      </w:r>
      <w:r>
        <w:rPr>
          <w:rFonts w:hint="eastAsia"/>
          <w:color w:val="auto"/>
          <w:highlight w:val="none"/>
        </w:rPr>
        <w:t>、</w:t>
      </w:r>
      <w:r>
        <w:rPr>
          <w:rFonts w:hint="eastAsia" w:cs="仿宋_GB2312"/>
          <w:bCs/>
          <w:color w:val="auto"/>
          <w:szCs w:val="32"/>
          <w:highlight w:val="none"/>
        </w:rPr>
        <w:t>“国家中医优势专科培育单位”等名义开展任何活动。</w:t>
      </w:r>
    </w:p>
    <w:p w14:paraId="356B6E28">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第十九条  </w:t>
      </w:r>
      <w:r>
        <w:rPr>
          <w:rFonts w:hint="eastAsia" w:cs="仿宋_GB2312"/>
          <w:bCs/>
          <w:color w:val="auto"/>
          <w:szCs w:val="32"/>
          <w:highlight w:val="none"/>
        </w:rPr>
        <w:t>专科建设过程中有下列情形之一的，将不再保留建设或培育资格并由国家中医药管理局进行通报予以淘汰。</w:t>
      </w:r>
    </w:p>
    <w:p w14:paraId="210AB22A">
      <w:pPr>
        <w:ind w:firstLine="640"/>
        <w:rPr>
          <w:rFonts w:hint="eastAsia" w:cs="仿宋_GB2312"/>
          <w:bCs/>
          <w:color w:val="auto"/>
          <w:szCs w:val="32"/>
          <w:highlight w:val="none"/>
        </w:rPr>
      </w:pPr>
      <w:r>
        <w:rPr>
          <w:rFonts w:hint="eastAsia" w:cs="仿宋_GB2312"/>
          <w:bCs/>
          <w:color w:val="auto"/>
          <w:szCs w:val="32"/>
          <w:highlight w:val="none"/>
        </w:rPr>
        <w:t>（一）建设进度缓慢，严重落后于建设方案进度，经警示整改，仍推进不力，无法完成建设目标的；</w:t>
      </w:r>
    </w:p>
    <w:p w14:paraId="25380E24">
      <w:pPr>
        <w:ind w:firstLine="640"/>
        <w:rPr>
          <w:rFonts w:hint="eastAsia" w:cs="仿宋_GB2312"/>
          <w:bCs/>
          <w:color w:val="auto"/>
          <w:szCs w:val="32"/>
          <w:highlight w:val="none"/>
        </w:rPr>
      </w:pPr>
      <w:r>
        <w:rPr>
          <w:rFonts w:hint="eastAsia" w:cs="仿宋_GB2312"/>
          <w:bCs/>
          <w:color w:val="auto"/>
          <w:szCs w:val="32"/>
          <w:highlight w:val="none"/>
        </w:rPr>
        <w:t>（二）在评估中提供虚假数据或存在弄虚作假情形的；</w:t>
      </w:r>
    </w:p>
    <w:p w14:paraId="06D7FA3F">
      <w:pPr>
        <w:ind w:firstLine="640"/>
        <w:rPr>
          <w:rFonts w:hint="eastAsia" w:cs="仿宋_GB2312"/>
          <w:bCs/>
          <w:color w:val="auto"/>
          <w:szCs w:val="32"/>
          <w:highlight w:val="none"/>
        </w:rPr>
      </w:pPr>
      <w:r>
        <w:rPr>
          <w:rFonts w:hint="eastAsia" w:cs="仿宋_GB2312"/>
          <w:bCs/>
          <w:color w:val="auto"/>
          <w:szCs w:val="32"/>
          <w:highlight w:val="none"/>
        </w:rPr>
        <w:t>（三）发生</w:t>
      </w:r>
      <w:r>
        <w:rPr>
          <w:rFonts w:hint="eastAsia" w:cs="仿宋_GB2312"/>
          <w:bCs/>
          <w:color w:val="auto"/>
          <w:szCs w:val="32"/>
          <w:highlight w:val="none"/>
          <w:lang w:val="en-US" w:eastAsia="zh-CN"/>
        </w:rPr>
        <w:t>严重违法违规和重大</w:t>
      </w:r>
      <w:r>
        <w:rPr>
          <w:rFonts w:hint="eastAsia" w:cs="仿宋_GB2312"/>
          <w:bCs/>
          <w:color w:val="auto"/>
          <w:szCs w:val="32"/>
          <w:highlight w:val="none"/>
        </w:rPr>
        <w:t>医疗</w:t>
      </w:r>
      <w:r>
        <w:rPr>
          <w:rFonts w:hint="eastAsia" w:cs="仿宋_GB2312"/>
          <w:bCs/>
          <w:color w:val="auto"/>
          <w:szCs w:val="32"/>
          <w:highlight w:val="none"/>
          <w:lang w:val="en-US" w:eastAsia="zh-CN"/>
        </w:rPr>
        <w:t>质量安全事件的</w:t>
      </w:r>
      <w:r>
        <w:rPr>
          <w:rFonts w:hint="eastAsia" w:cs="仿宋_GB2312"/>
          <w:bCs/>
          <w:color w:val="auto"/>
          <w:szCs w:val="32"/>
          <w:highlight w:val="none"/>
        </w:rPr>
        <w:t>；</w:t>
      </w:r>
    </w:p>
    <w:p w14:paraId="354C6848">
      <w:pPr>
        <w:ind w:firstLine="640"/>
        <w:rPr>
          <w:rFonts w:hint="eastAsia" w:cs="仿宋_GB2312"/>
          <w:bCs/>
          <w:color w:val="auto"/>
          <w:szCs w:val="32"/>
          <w:highlight w:val="none"/>
        </w:rPr>
      </w:pPr>
      <w:r>
        <w:rPr>
          <w:rFonts w:hint="eastAsia" w:cs="仿宋_GB2312"/>
          <w:bCs/>
          <w:color w:val="auto"/>
          <w:szCs w:val="32"/>
          <w:highlight w:val="none"/>
        </w:rPr>
        <w:t>（四）中期评估不合格且限期整改不到位的和期满评估不合格的；</w:t>
      </w:r>
    </w:p>
    <w:p w14:paraId="654CA914">
      <w:pPr>
        <w:ind w:firstLine="640"/>
        <w:rPr>
          <w:rFonts w:hint="eastAsia" w:cs="仿宋_GB2312"/>
          <w:bCs/>
          <w:color w:val="auto"/>
          <w:szCs w:val="32"/>
          <w:highlight w:val="none"/>
        </w:rPr>
      </w:pPr>
      <w:r>
        <w:rPr>
          <w:rFonts w:hint="eastAsia" w:cs="仿宋_GB2312"/>
          <w:bCs/>
          <w:color w:val="auto"/>
          <w:szCs w:val="32"/>
          <w:highlight w:val="none"/>
        </w:rPr>
        <w:t>（五）国家中医药管理局和省级中医药主管部门规定的其他情形。</w:t>
      </w:r>
    </w:p>
    <w:p w14:paraId="184AB91A">
      <w:pPr>
        <w:ind w:firstLine="643"/>
        <w:rPr>
          <w:rFonts w:hint="eastAsia" w:cs="仿宋_GB2312"/>
          <w:bCs/>
          <w:color w:val="auto"/>
          <w:szCs w:val="32"/>
          <w:highlight w:val="none"/>
        </w:rPr>
      </w:pPr>
      <w:r>
        <w:rPr>
          <w:rStyle w:val="11"/>
          <w:rFonts w:hint="default"/>
          <w:color w:val="auto"/>
          <w:highlight w:val="none"/>
        </w:rPr>
        <w:t xml:space="preserve">第二十条 </w:t>
      </w:r>
      <w:r>
        <w:rPr>
          <w:rFonts w:hint="eastAsia" w:hAnsi="仿宋"/>
          <w:color w:val="auto"/>
          <w:szCs w:val="32"/>
          <w:highlight w:val="none"/>
        </w:rPr>
        <w:t xml:space="preserve"> 对建设措施落实不到位、经费执行不到位、未按要求报送有关材料及建设期间出现其他重大问题的专科，所在省级中医药主管部门应当及时督导改进并报告国家中医药管理局。改进不到位的，按第十九条执行。</w:t>
      </w:r>
    </w:p>
    <w:p w14:paraId="7540692D">
      <w:pPr>
        <w:ind w:firstLine="640"/>
        <w:rPr>
          <w:rFonts w:hint="eastAsia" w:hAnsi="仿宋"/>
          <w:color w:val="auto"/>
          <w:szCs w:val="32"/>
          <w:highlight w:val="none"/>
        </w:rPr>
      </w:pPr>
    </w:p>
    <w:p w14:paraId="559BA0A6">
      <w:pPr>
        <w:ind w:firstLine="0" w:firstLineChars="0"/>
        <w:jc w:val="center"/>
        <w:rPr>
          <w:rFonts w:hint="eastAsia" w:ascii="黑体" w:hAnsi="黑体" w:eastAsia="黑体"/>
          <w:color w:val="auto"/>
          <w:szCs w:val="32"/>
          <w:highlight w:val="none"/>
        </w:rPr>
      </w:pPr>
      <w:r>
        <w:rPr>
          <w:rFonts w:hint="eastAsia" w:ascii="黑体" w:hAnsi="黑体" w:eastAsia="黑体"/>
          <w:color w:val="auto"/>
          <w:szCs w:val="32"/>
          <w:highlight w:val="none"/>
        </w:rPr>
        <w:t>第六章  附  则</w:t>
      </w:r>
    </w:p>
    <w:p w14:paraId="523255BE">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第二十一条  </w:t>
      </w:r>
      <w:r>
        <w:rPr>
          <w:rFonts w:hint="eastAsia" w:cs="仿宋_GB2312"/>
          <w:bCs/>
          <w:color w:val="auto"/>
          <w:szCs w:val="32"/>
          <w:highlight w:val="none"/>
        </w:rPr>
        <w:t>少数民族医和治未病专业国家中医优势专科建设与管理由国家中医药管理局中西医结合与少数民族医药司具体负责。</w:t>
      </w:r>
    </w:p>
    <w:p w14:paraId="2D087AE4">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第二十二条 </w:t>
      </w:r>
      <w:r>
        <w:rPr>
          <w:rFonts w:hint="eastAsia" w:cs="仿宋_GB2312"/>
          <w:bCs/>
          <w:color w:val="auto"/>
          <w:szCs w:val="32"/>
          <w:highlight w:val="none"/>
        </w:rPr>
        <w:t xml:space="preserve"> 本办法由国家中医药管理局医政司负责解释。</w:t>
      </w:r>
    </w:p>
    <w:p w14:paraId="0A9586DE">
      <w:pPr>
        <w:ind w:firstLine="643"/>
        <w:rPr>
          <w:rFonts w:hint="eastAsia" w:cs="仿宋_GB2312"/>
          <w:bCs/>
          <w:color w:val="auto"/>
          <w:szCs w:val="32"/>
          <w:highlight w:val="none"/>
        </w:rPr>
      </w:pPr>
      <w:r>
        <w:rPr>
          <w:rFonts w:hint="eastAsia" w:ascii="楷体_GB2312" w:hAnsi="仿宋" w:eastAsia="楷体_GB2312"/>
          <w:b/>
          <w:color w:val="auto"/>
          <w:szCs w:val="32"/>
          <w:highlight w:val="none"/>
        </w:rPr>
        <w:t xml:space="preserve">第二十三条 </w:t>
      </w:r>
      <w:r>
        <w:rPr>
          <w:rFonts w:ascii="楷体_GB2312" w:hAnsi="仿宋" w:eastAsia="楷体_GB2312"/>
          <w:b/>
          <w:color w:val="auto"/>
          <w:szCs w:val="32"/>
          <w:highlight w:val="none"/>
        </w:rPr>
        <w:t xml:space="preserve"> </w:t>
      </w:r>
      <w:r>
        <w:rPr>
          <w:rFonts w:hint="eastAsia" w:cs="仿宋_GB2312"/>
          <w:bCs/>
          <w:color w:val="auto"/>
          <w:szCs w:val="32"/>
          <w:highlight w:val="none"/>
        </w:rPr>
        <w:t>本办法自印发之日起施行。</w:t>
      </w:r>
    </w:p>
    <w:p w14:paraId="60C25662">
      <w:pPr>
        <w:ind w:firstLine="643"/>
        <w:rPr>
          <w:rFonts w:hint="eastAsia" w:cs="仿宋_GB2312"/>
          <w:bCs/>
          <w:color w:val="auto"/>
          <w:szCs w:val="32"/>
          <w:highlight w:val="none"/>
        </w:rPr>
      </w:pPr>
    </w:p>
    <w:p w14:paraId="05565500">
      <w:pPr>
        <w:ind w:firstLine="643"/>
        <w:rPr>
          <w:rFonts w:hint="eastAsia" w:cs="仿宋_GB2312"/>
          <w:bCs/>
          <w:color w:val="auto"/>
          <w:szCs w:val="32"/>
          <w:highlight w:val="none"/>
        </w:rPr>
      </w:pPr>
    </w:p>
    <w:p w14:paraId="5A1BE3B8">
      <w:pPr>
        <w:ind w:firstLine="643"/>
        <w:rPr>
          <w:rFonts w:hint="eastAsia" w:cs="仿宋_GB2312"/>
          <w:bCs/>
          <w:color w:val="auto"/>
          <w:szCs w:val="32"/>
          <w:highlight w:val="none"/>
        </w:rPr>
      </w:pPr>
    </w:p>
    <w:p w14:paraId="36C89184">
      <w:pPr>
        <w:ind w:firstLine="643"/>
        <w:rPr>
          <w:rFonts w:hint="eastAsia" w:cs="仿宋_GB2312"/>
          <w:bCs/>
          <w:color w:val="auto"/>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992" w:gutter="0"/>
          <w:cols w:space="0" w:num="1"/>
          <w:docGrid w:type="lines" w:linePitch="312" w:charSpace="0"/>
        </w:sectPr>
      </w:pPr>
    </w:p>
    <w:p w14:paraId="497A2A54">
      <w:pPr>
        <w:ind w:left="0" w:leftChars="0" w:firstLine="0" w:firstLineChars="0"/>
        <w:rPr>
          <w:rFonts w:hint="eastAsia" w:ascii="黑体" w:hAnsi="黑体" w:eastAsia="黑体" w:cs="黑体"/>
          <w:bCs/>
          <w:color w:val="auto"/>
          <w:szCs w:val="32"/>
          <w:highlight w:val="none"/>
          <w:lang w:val="en-US" w:eastAsia="zh-CN"/>
        </w:rPr>
      </w:pPr>
      <w:r>
        <w:rPr>
          <w:rFonts w:hint="eastAsia" w:ascii="黑体" w:hAnsi="黑体" w:eastAsia="黑体" w:cs="黑体"/>
          <w:bCs/>
          <w:color w:val="auto"/>
          <w:szCs w:val="32"/>
          <w:highlight w:val="none"/>
          <w:lang w:val="en-US" w:eastAsia="zh-CN"/>
        </w:rPr>
        <w:t>附表</w:t>
      </w:r>
    </w:p>
    <w:tbl>
      <w:tblPr>
        <w:tblStyle w:val="5"/>
        <w:tblW w:w="93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44"/>
        <w:gridCol w:w="7428"/>
      </w:tblGrid>
      <w:tr w14:paraId="25C0B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372" w:type="dxa"/>
            <w:gridSpan w:val="2"/>
            <w:tcBorders>
              <w:top w:val="nil"/>
              <w:left w:val="nil"/>
              <w:bottom w:val="nil"/>
              <w:right w:val="nil"/>
            </w:tcBorders>
            <w:shd w:val="clear" w:color="auto" w:fill="auto"/>
            <w:noWrap/>
            <w:vAlign w:val="center"/>
          </w:tcPr>
          <w:p w14:paraId="4077F8B7">
            <w:pPr>
              <w:keepNext w:val="0"/>
              <w:keepLines w:val="0"/>
              <w:pageBreakBefore w:val="0"/>
              <w:widowControl/>
              <w:suppressLineNumbers w:val="0"/>
              <w:kinsoku/>
              <w:wordWrap/>
              <w:overflowPunct/>
              <w:topLinePunct w:val="0"/>
              <w:autoSpaceDE/>
              <w:autoSpaceDN/>
              <w:bidi w:val="0"/>
              <w:adjustRightInd/>
              <w:snapToGrid w:val="0"/>
              <w:spacing w:after="157" w:afterLines="50" w:line="480" w:lineRule="exact"/>
              <w:ind w:left="0" w:leftChars="0" w:firstLine="0" w:firstLineChars="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国家中医优势专科能力评估通用指标</w:t>
            </w:r>
          </w:p>
        </w:tc>
      </w:tr>
      <w:tr w14:paraId="7D52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C78A">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ascii="黑体" w:hAnsi="宋体" w:eastAsia="黑体" w:cs="黑体"/>
                <w:b w:val="0"/>
                <w:bCs w:val="0"/>
                <w:i w:val="0"/>
                <w:iCs w:val="0"/>
                <w:color w:val="000000"/>
                <w:sz w:val="24"/>
                <w:szCs w:val="24"/>
                <w:u w:val="none"/>
              </w:rPr>
            </w:pPr>
            <w:r>
              <w:rPr>
                <w:rFonts w:hint="eastAsia" w:ascii="黑体" w:hAnsi="宋体" w:eastAsia="黑体" w:cs="黑体"/>
                <w:b w:val="0"/>
                <w:bCs w:val="0"/>
                <w:i w:val="0"/>
                <w:iCs w:val="0"/>
                <w:color w:val="000000"/>
                <w:kern w:val="0"/>
                <w:sz w:val="24"/>
                <w:szCs w:val="24"/>
                <w:u w:val="none"/>
                <w:lang w:val="en-US" w:eastAsia="zh-CN" w:bidi="ar"/>
              </w:rPr>
              <w:t>一级指标</w:t>
            </w: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CA4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eastAsia" w:ascii="黑体" w:hAnsi="宋体" w:eastAsia="黑体" w:cs="黑体"/>
                <w:b w:val="0"/>
                <w:bCs w:val="0"/>
                <w:i w:val="0"/>
                <w:iCs w:val="0"/>
                <w:color w:val="000000"/>
                <w:sz w:val="24"/>
                <w:szCs w:val="24"/>
                <w:u w:val="none"/>
              </w:rPr>
            </w:pPr>
            <w:r>
              <w:rPr>
                <w:rFonts w:hint="eastAsia" w:ascii="黑体" w:hAnsi="宋体" w:eastAsia="黑体" w:cs="黑体"/>
                <w:b w:val="0"/>
                <w:bCs w:val="0"/>
                <w:i w:val="0"/>
                <w:iCs w:val="0"/>
                <w:color w:val="000000"/>
                <w:kern w:val="0"/>
                <w:sz w:val="24"/>
                <w:szCs w:val="24"/>
                <w:u w:val="none"/>
                <w:lang w:val="en-US" w:eastAsia="zh-CN" w:bidi="ar"/>
              </w:rPr>
              <w:t>二级指标</w:t>
            </w:r>
          </w:p>
        </w:tc>
      </w:tr>
      <w:tr w14:paraId="42FE4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restart"/>
            <w:tcBorders>
              <w:top w:val="single" w:color="000000" w:sz="4" w:space="0"/>
              <w:left w:val="single" w:color="000000" w:sz="4" w:space="0"/>
              <w:bottom w:val="single" w:color="000000" w:sz="4" w:space="0"/>
              <w:right w:val="nil"/>
            </w:tcBorders>
            <w:shd w:val="clear" w:color="auto" w:fill="auto"/>
            <w:noWrap/>
            <w:vAlign w:val="center"/>
          </w:tcPr>
          <w:p w14:paraId="6C05103C">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一、专科基础</w:t>
            </w: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4361">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1.专科床位数</w:t>
            </w:r>
          </w:p>
        </w:tc>
      </w:tr>
      <w:tr w14:paraId="6BC9B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2B615A9">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8659">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2.专病门诊开放情况</w:t>
            </w:r>
          </w:p>
        </w:tc>
      </w:tr>
      <w:tr w14:paraId="779AE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nil"/>
            </w:tcBorders>
            <w:shd w:val="clear" w:color="auto" w:fill="auto"/>
            <w:noWrap/>
            <w:vAlign w:val="center"/>
          </w:tcPr>
          <w:p w14:paraId="348BB144">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nil"/>
              <w:right w:val="single" w:color="000000" w:sz="4" w:space="0"/>
            </w:tcBorders>
            <w:shd w:val="clear" w:color="auto" w:fill="auto"/>
            <w:vAlign w:val="center"/>
          </w:tcPr>
          <w:p w14:paraId="08856EF8">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3.中医类别医师占比</w:t>
            </w:r>
          </w:p>
        </w:tc>
      </w:tr>
      <w:tr w14:paraId="7789E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nil"/>
            </w:tcBorders>
            <w:shd w:val="clear" w:color="auto" w:fill="auto"/>
            <w:noWrap/>
            <w:vAlign w:val="center"/>
          </w:tcPr>
          <w:p w14:paraId="29F87B56">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nil"/>
              <w:right w:val="single" w:color="000000" w:sz="4" w:space="0"/>
            </w:tcBorders>
            <w:shd w:val="clear" w:color="auto" w:fill="auto"/>
            <w:vAlign w:val="center"/>
          </w:tcPr>
          <w:p w14:paraId="07660431">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4.专科所在医院电子病历应用功能水平分级</w:t>
            </w:r>
          </w:p>
        </w:tc>
      </w:tr>
      <w:tr w14:paraId="69217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restart"/>
            <w:tcBorders>
              <w:top w:val="single" w:color="000000" w:sz="4" w:space="0"/>
              <w:left w:val="single" w:color="000000" w:sz="4" w:space="0"/>
              <w:bottom w:val="nil"/>
              <w:right w:val="single" w:color="000000" w:sz="4" w:space="0"/>
            </w:tcBorders>
            <w:shd w:val="clear" w:color="auto" w:fill="auto"/>
            <w:vAlign w:val="center"/>
          </w:tcPr>
          <w:p w14:paraId="16D20919">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二、服务能力</w:t>
            </w: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9D6E">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1.专科总诊疗量及增长情况（包括门诊和住院）</w:t>
            </w:r>
          </w:p>
        </w:tc>
      </w:tr>
      <w:tr w14:paraId="0C284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6ACE2638">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78AE">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2.中药使用率（包括门诊和住院）</w:t>
            </w:r>
          </w:p>
        </w:tc>
      </w:tr>
      <w:tr w14:paraId="19EAF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2A852FAC">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21EC">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3.中医优势病种覆盖率、患者人次及诊疗情况（包括门诊及住院）</w:t>
            </w:r>
          </w:p>
        </w:tc>
      </w:tr>
      <w:tr w14:paraId="49A2B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2ED73806">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23D4">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4.以中医为主治疗的出院患者比例</w:t>
            </w:r>
          </w:p>
        </w:tc>
      </w:tr>
      <w:tr w14:paraId="499AD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7C3C4045">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D0AD">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5.出院患者中疑难危重症患者比例及诊疗情况（本专业）</w:t>
            </w:r>
          </w:p>
        </w:tc>
      </w:tr>
      <w:tr w14:paraId="4F11B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0A16BD4F">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2CFD2">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6.CMI值（病例组合指数）</w:t>
            </w:r>
          </w:p>
        </w:tc>
      </w:tr>
      <w:tr w14:paraId="3B8E4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7B79CAB3">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nil"/>
              <w:left w:val="single" w:color="000000" w:sz="4" w:space="0"/>
              <w:bottom w:val="single" w:color="000000" w:sz="4" w:space="0"/>
              <w:right w:val="single" w:color="000000" w:sz="4" w:space="0"/>
            </w:tcBorders>
            <w:shd w:val="clear" w:color="auto" w:fill="auto"/>
            <w:vAlign w:val="center"/>
          </w:tcPr>
          <w:p w14:paraId="46B61EDC">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7.区域外患者占比（跨省/跨市）</w:t>
            </w:r>
          </w:p>
        </w:tc>
      </w:tr>
      <w:tr w14:paraId="28F86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469865FE">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95ED">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8.低风险组病例死亡率</w:t>
            </w:r>
          </w:p>
        </w:tc>
      </w:tr>
      <w:tr w14:paraId="088BD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5FB83BD2">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A922">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9.中医护理技术开展情况</w:t>
            </w:r>
          </w:p>
        </w:tc>
      </w:tr>
      <w:tr w14:paraId="7E3D4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440EBCFF">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1555">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10.本专科医疗机构中药制剂品种数及新增制剂情况</w:t>
            </w:r>
          </w:p>
        </w:tc>
      </w:tr>
      <w:tr w14:paraId="0CDC2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213F3E9A">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5557">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11.出院手术患者三四级手术占比（不考核非手术科室）</w:t>
            </w:r>
          </w:p>
        </w:tc>
      </w:tr>
      <w:tr w14:paraId="0309C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4D700AC7">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99C8">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12.开展的中医医疗技术项目及新增项目有关情况</w:t>
            </w:r>
          </w:p>
        </w:tc>
      </w:tr>
      <w:tr w14:paraId="0FFD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nil"/>
              <w:right w:val="single" w:color="000000" w:sz="4" w:space="0"/>
            </w:tcBorders>
            <w:shd w:val="clear" w:color="auto" w:fill="auto"/>
            <w:vAlign w:val="center"/>
          </w:tcPr>
          <w:p w14:paraId="04071363">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50A7">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13.开展的现代医疗技术及新增项目情况</w:t>
            </w:r>
          </w:p>
        </w:tc>
      </w:tr>
      <w:tr w14:paraId="450CF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3E635">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Style w:val="19"/>
                <w:rFonts w:hAnsi="宋体"/>
                <w:sz w:val="24"/>
                <w:szCs w:val="24"/>
                <w:lang w:val="en-US" w:eastAsia="zh-CN" w:bidi="ar"/>
              </w:rPr>
            </w:pPr>
            <w:r>
              <w:rPr>
                <w:rStyle w:val="20"/>
                <w:rFonts w:hAnsi="宋体"/>
                <w:sz w:val="24"/>
                <w:szCs w:val="24"/>
                <w:lang w:val="en-US" w:eastAsia="zh-CN" w:bidi="ar"/>
              </w:rPr>
              <w:t>学术传承</w:t>
            </w:r>
            <w:r>
              <w:rPr>
                <w:rStyle w:val="19"/>
                <w:rFonts w:hAnsi="宋体"/>
                <w:sz w:val="24"/>
                <w:szCs w:val="24"/>
                <w:lang w:val="en-US" w:eastAsia="zh-CN" w:bidi="ar"/>
              </w:rPr>
              <w:t>和</w:t>
            </w:r>
          </w:p>
          <w:p w14:paraId="760F451F">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40" w:lineRule="exact"/>
              <w:ind w:leftChars="0"/>
              <w:jc w:val="center"/>
              <w:textAlignment w:val="center"/>
              <w:rPr>
                <w:rFonts w:hint="eastAsia" w:ascii="仿宋_GB2312" w:hAnsi="宋体" w:eastAsia="仿宋_GB2312" w:cs="仿宋_GB2312"/>
                <w:b/>
                <w:bCs/>
                <w:i w:val="0"/>
                <w:iCs w:val="0"/>
                <w:color w:val="000000"/>
                <w:sz w:val="24"/>
                <w:szCs w:val="24"/>
                <w:u w:val="none"/>
              </w:rPr>
            </w:pPr>
            <w:r>
              <w:rPr>
                <w:rStyle w:val="19"/>
                <w:rFonts w:hAnsi="宋体"/>
                <w:sz w:val="24"/>
                <w:szCs w:val="24"/>
                <w:lang w:val="en-US" w:eastAsia="zh-CN" w:bidi="ar"/>
              </w:rPr>
              <w:t>队伍建设</w:t>
            </w:r>
          </w:p>
        </w:tc>
        <w:tc>
          <w:tcPr>
            <w:tcW w:w="7428" w:type="dxa"/>
            <w:tcBorders>
              <w:top w:val="single" w:color="000000" w:sz="4" w:space="0"/>
              <w:left w:val="nil"/>
              <w:bottom w:val="single" w:color="000000" w:sz="4" w:space="0"/>
              <w:right w:val="single" w:color="000000" w:sz="4" w:space="0"/>
            </w:tcBorders>
            <w:shd w:val="clear" w:color="auto" w:fill="auto"/>
            <w:vAlign w:val="center"/>
          </w:tcPr>
          <w:p w14:paraId="7134EF6F">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1.专科团队建设情况（包括专科总人数及增长情况，科室负责人、亚专业带头人、后备骨干等人才梯队建设情况，国家级、省级骨干人才培养情况）</w:t>
            </w:r>
          </w:p>
        </w:tc>
      </w:tr>
      <w:tr w14:paraId="112A7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64DFF">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nil"/>
              <w:bottom w:val="single" w:color="000000" w:sz="4" w:space="0"/>
              <w:right w:val="single" w:color="000000" w:sz="4" w:space="0"/>
            </w:tcBorders>
            <w:shd w:val="clear" w:color="auto" w:fill="auto"/>
            <w:vAlign w:val="center"/>
          </w:tcPr>
          <w:p w14:paraId="524D3DC8">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2.建设周期内承担继续教育项目情况（国家级/省级）</w:t>
            </w:r>
          </w:p>
        </w:tc>
      </w:tr>
      <w:tr w14:paraId="5EB38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C3740">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nil"/>
              <w:bottom w:val="single" w:color="000000" w:sz="4" w:space="0"/>
              <w:right w:val="single" w:color="000000" w:sz="4" w:space="0"/>
            </w:tcBorders>
            <w:shd w:val="clear" w:color="auto" w:fill="auto"/>
            <w:vAlign w:val="center"/>
          </w:tcPr>
          <w:p w14:paraId="612E962B">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3.名老中医传承工作室情况（国家级/省级）</w:t>
            </w:r>
          </w:p>
        </w:tc>
      </w:tr>
      <w:tr w14:paraId="5990E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6FA2">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四</w:t>
            </w:r>
            <w:r>
              <w:rPr>
                <w:rFonts w:hint="eastAsia" w:hAnsi="宋体" w:cs="仿宋_GB2312"/>
                <w:b/>
                <w:bCs/>
                <w:i w:val="0"/>
                <w:iCs w:val="0"/>
                <w:color w:val="000000"/>
                <w:kern w:val="0"/>
                <w:sz w:val="24"/>
                <w:szCs w:val="24"/>
                <w:u w:val="none"/>
                <w:lang w:val="en-US" w:eastAsia="zh-CN" w:bidi="ar"/>
              </w:rPr>
              <w:t>、</w:t>
            </w:r>
            <w:r>
              <w:rPr>
                <w:rFonts w:hint="eastAsia" w:ascii="仿宋_GB2312" w:hAnsi="宋体" w:eastAsia="仿宋_GB2312" w:cs="仿宋_GB2312"/>
                <w:b/>
                <w:bCs/>
                <w:i w:val="0"/>
                <w:iCs w:val="0"/>
                <w:color w:val="000000"/>
                <w:kern w:val="0"/>
                <w:sz w:val="24"/>
                <w:szCs w:val="24"/>
                <w:u w:val="none"/>
                <w:lang w:val="en-US" w:eastAsia="zh-CN" w:bidi="ar"/>
              </w:rPr>
              <w:t>科研创新</w:t>
            </w:r>
          </w:p>
        </w:tc>
        <w:tc>
          <w:tcPr>
            <w:tcW w:w="7428" w:type="dxa"/>
            <w:tcBorders>
              <w:top w:val="single" w:color="000000" w:sz="4" w:space="0"/>
              <w:left w:val="nil"/>
              <w:bottom w:val="single" w:color="000000" w:sz="4" w:space="0"/>
              <w:right w:val="single" w:color="000000" w:sz="4" w:space="0"/>
            </w:tcBorders>
            <w:shd w:val="clear" w:color="auto" w:fill="auto"/>
            <w:vAlign w:val="center"/>
          </w:tcPr>
          <w:p w14:paraId="205422BB">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1.获得科技成果奖项及承担科研项目情况（省部级以上）</w:t>
            </w:r>
          </w:p>
        </w:tc>
      </w:tr>
      <w:tr w14:paraId="750AF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6B58">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nil"/>
              <w:bottom w:val="single" w:color="000000" w:sz="4" w:space="0"/>
              <w:right w:val="single" w:color="000000" w:sz="4" w:space="0"/>
            </w:tcBorders>
            <w:shd w:val="clear" w:color="auto" w:fill="auto"/>
            <w:vAlign w:val="center"/>
          </w:tcPr>
          <w:p w14:paraId="2DBECEE5">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2.高水平著作、论文、专利等情况</w:t>
            </w:r>
          </w:p>
        </w:tc>
      </w:tr>
      <w:tr w14:paraId="79AA3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9753">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nil"/>
              <w:bottom w:val="single" w:color="000000" w:sz="4" w:space="0"/>
              <w:right w:val="single" w:color="000000" w:sz="4" w:space="0"/>
            </w:tcBorders>
            <w:shd w:val="clear" w:color="auto" w:fill="auto"/>
            <w:vAlign w:val="center"/>
          </w:tcPr>
          <w:p w14:paraId="7E7F2DE8">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3.开展中医优势病种疗效提升评价情况</w:t>
            </w:r>
          </w:p>
        </w:tc>
      </w:tr>
      <w:tr w14:paraId="745C6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98D1">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nil"/>
              <w:bottom w:val="single" w:color="000000" w:sz="4" w:space="0"/>
              <w:right w:val="single" w:color="000000" w:sz="4" w:space="0"/>
            </w:tcBorders>
            <w:shd w:val="clear" w:color="auto" w:fill="auto"/>
            <w:vAlign w:val="center"/>
          </w:tcPr>
          <w:p w14:paraId="6D5127D9">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Style w:val="22"/>
                <w:rFonts w:hAnsi="宋体"/>
                <w:sz w:val="21"/>
                <w:szCs w:val="21"/>
                <w:lang w:val="en-US" w:eastAsia="zh-CN" w:bidi="ar"/>
              </w:rPr>
              <w:t>4.研发医疗机构中药制剂、中医诊疗设备等情况，传统</w:t>
            </w:r>
            <w:r>
              <w:rPr>
                <w:rStyle w:val="23"/>
                <w:rFonts w:hAnsi="宋体"/>
                <w:sz w:val="21"/>
                <w:szCs w:val="21"/>
                <w:lang w:val="en-US" w:eastAsia="zh-CN" w:bidi="ar"/>
              </w:rPr>
              <w:t>中药饮片剂型与服用方法的改良创新情况</w:t>
            </w:r>
          </w:p>
        </w:tc>
      </w:tr>
      <w:tr w14:paraId="479B3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E966">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五、示范引领</w:t>
            </w: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B58E">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1.牵头组建国家中医优势专科联合体及省级/区域中医优势专科联盟情况，对县级中医医院对口帮扶情况</w:t>
            </w:r>
          </w:p>
        </w:tc>
      </w:tr>
      <w:tr w14:paraId="5FC75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8EBD">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A49C">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2.在中医质控中心建设中发挥作用情况（国家级/省级）</w:t>
            </w:r>
          </w:p>
        </w:tc>
      </w:tr>
      <w:tr w14:paraId="4578F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9AE8">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61530">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3.牵头制定并推广中医优势病种诊疗方案、指南等规范标准情况</w:t>
            </w:r>
          </w:p>
        </w:tc>
      </w:tr>
      <w:tr w14:paraId="537C0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BAD6">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仿宋_GB2312" w:hAnsi="宋体" w:eastAsia="仿宋_GB2312" w:cs="仿宋_GB2312"/>
                <w:b/>
                <w:bCs/>
                <w:i w:val="0"/>
                <w:iCs w:val="0"/>
                <w:color w:val="000000"/>
                <w:sz w:val="24"/>
                <w:szCs w:val="24"/>
                <w:u w:val="none"/>
              </w:rPr>
            </w:pPr>
          </w:p>
        </w:tc>
        <w:tc>
          <w:tcPr>
            <w:tcW w:w="7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22EE">
            <w:pPr>
              <w:keepNext w:val="0"/>
              <w:keepLines w:val="0"/>
              <w:pageBreakBefore w:val="0"/>
              <w:widowControl/>
              <w:suppressLineNumbers w:val="0"/>
              <w:kinsoku/>
              <w:wordWrap/>
              <w:overflowPunct/>
              <w:topLinePunct w:val="0"/>
              <w:autoSpaceDE/>
              <w:autoSpaceDN/>
              <w:bidi w:val="0"/>
              <w:adjustRightInd/>
              <w:snapToGrid w:val="0"/>
              <w:spacing w:line="240" w:lineRule="exact"/>
              <w:ind w:firstLine="0" w:firstLineChars="0"/>
              <w:jc w:val="both"/>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lang w:val="en-US" w:eastAsia="zh-CN" w:bidi="ar"/>
              </w:rPr>
              <w:t>4.接受其他医院医务人员进修、培训等情况</w:t>
            </w:r>
          </w:p>
        </w:tc>
      </w:tr>
    </w:tbl>
    <w:p w14:paraId="493237AB">
      <w:pPr>
        <w:keepNext w:val="0"/>
        <w:keepLines w:val="0"/>
        <w:pageBreakBefore w:val="0"/>
        <w:widowControl/>
        <w:suppressLineNumbers w:val="0"/>
        <w:kinsoku/>
        <w:wordWrap/>
        <w:overflowPunct/>
        <w:topLinePunct w:val="0"/>
        <w:autoSpaceDE/>
        <w:autoSpaceDN/>
        <w:bidi w:val="0"/>
        <w:adjustRightInd w:val="0"/>
        <w:snapToGrid w:val="0"/>
        <w:spacing w:before="157" w:beforeLines="50" w:line="240" w:lineRule="exact"/>
        <w:ind w:firstLine="0" w:firstLineChars="0"/>
        <w:jc w:val="both"/>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注：本指标是国家中医优势专科能力评估的通用指标（占比重70%），国家中医优势专科联合体结合实际制定本专业特色指标（占比重30%），少数民族医、治未病国家中医优势专科能力评估可参照执行。</w:t>
      </w:r>
    </w:p>
    <w:p w14:paraId="3B5AD4C6">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both"/>
        <w:textAlignment w:val="center"/>
        <w:rPr>
          <w:rFonts w:hint="eastAsia" w:ascii="仿宋_GB2312" w:hAnsi="宋体" w:eastAsia="仿宋_GB2312" w:cs="仿宋_GB2312"/>
          <w:i w:val="0"/>
          <w:iCs w:val="0"/>
          <w:color w:val="000000"/>
          <w:kern w:val="0"/>
          <w:sz w:val="21"/>
          <w:szCs w:val="21"/>
          <w:u w:val="none"/>
          <w:lang w:val="en-US" w:eastAsia="zh-CN" w:bidi="ar"/>
        </w:rPr>
      </w:pPr>
    </w:p>
    <w:p w14:paraId="5261AB8B">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both"/>
        <w:textAlignment w:val="center"/>
        <w:rPr>
          <w:rFonts w:hint="eastAsia" w:ascii="仿宋_GB2312" w:hAnsi="宋体" w:eastAsia="仿宋_GB2312" w:cs="仿宋_GB2312"/>
          <w:i w:val="0"/>
          <w:iCs w:val="0"/>
          <w:color w:val="000000"/>
          <w:kern w:val="0"/>
          <w:sz w:val="21"/>
          <w:szCs w:val="21"/>
          <w:u w:val="none"/>
          <w:lang w:val="en-US" w:eastAsia="zh-CN" w:bidi="ar"/>
        </w:rPr>
        <w:sectPr>
          <w:pgSz w:w="11906" w:h="16838"/>
          <w:pgMar w:top="1701" w:right="1531" w:bottom="1701" w:left="1531" w:header="851" w:footer="992" w:gutter="0"/>
          <w:cols w:space="0" w:num="1"/>
          <w:docGrid w:type="lines" w:linePitch="312" w:charSpace="0"/>
        </w:sectPr>
      </w:pPr>
    </w:p>
    <w:p w14:paraId="30D70588">
      <w:pPr>
        <w:spacing w:line="600" w:lineRule="exact"/>
        <w:ind w:left="0" w:leftChars="0" w:firstLine="0" w:firstLineChars="0"/>
        <w:jc w:val="center"/>
        <w:rPr>
          <w:rFonts w:hint="eastAsia" w:ascii="方正小标宋简体" w:hAnsi="方正小标宋简体" w:eastAsia="方正小标宋简体" w:cs="方正小标宋简体"/>
          <w:sz w:val="44"/>
          <w:szCs w:val="52"/>
          <w:lang w:val="en-US" w:eastAsia="zh-CN"/>
        </w:rPr>
      </w:pPr>
    </w:p>
    <w:p w14:paraId="6FC17166">
      <w:pPr>
        <w:spacing w:line="600" w:lineRule="exact"/>
        <w:ind w:left="0" w:leftChars="0" w:firstLine="0" w:firstLineChars="0"/>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lang w:val="en-US" w:eastAsia="zh-CN"/>
        </w:rPr>
        <w:t>国家中医优势专科能力</w:t>
      </w:r>
      <w:r>
        <w:rPr>
          <w:rFonts w:hint="eastAsia" w:ascii="方正小标宋简体" w:hAnsi="方正小标宋简体" w:eastAsia="方正小标宋简体" w:cs="方正小标宋简体"/>
          <w:sz w:val="44"/>
          <w:szCs w:val="52"/>
        </w:rPr>
        <w:t>评估通用指标说明</w:t>
      </w:r>
    </w:p>
    <w:p w14:paraId="7497E0A5">
      <w:pPr>
        <w:spacing w:line="600" w:lineRule="exact"/>
        <w:rPr>
          <w:rFonts w:hint="eastAsia" w:ascii="方正小标宋简体" w:hAnsi="方正小标宋简体" w:eastAsia="方正小标宋简体" w:cs="方正小标宋简体"/>
          <w:sz w:val="32"/>
          <w:szCs w:val="40"/>
        </w:rPr>
      </w:pPr>
    </w:p>
    <w:p w14:paraId="582E535E">
      <w:pPr>
        <w:spacing w:line="600" w:lineRule="exact"/>
        <w:ind w:firstLine="643" w:firstLineChars="200"/>
        <w:rPr>
          <w:rFonts w:hint="eastAsia" w:ascii="黑体" w:hAnsi="黑体" w:eastAsia="黑体" w:cs="黑体"/>
          <w:sz w:val="32"/>
          <w:szCs w:val="40"/>
        </w:rPr>
      </w:pPr>
      <w:r>
        <w:rPr>
          <w:rFonts w:hint="eastAsia" w:ascii="楷体_GB2312" w:hAnsi="楷体_GB2312" w:eastAsia="楷体_GB2312" w:cs="楷体_GB2312"/>
          <w:b/>
          <w:bCs/>
          <w:sz w:val="32"/>
          <w:szCs w:val="40"/>
        </w:rPr>
        <w:t>1.专科床位数：</w:t>
      </w:r>
      <w:r>
        <w:rPr>
          <w:rFonts w:hint="eastAsia" w:ascii="仿宋_GB2312" w:hAnsi="仿宋_GB2312" w:eastAsia="仿宋_GB2312" w:cs="仿宋_GB2312"/>
          <w:sz w:val="32"/>
          <w:szCs w:val="40"/>
        </w:rPr>
        <w:t>指专科实际开放床位数。</w:t>
      </w:r>
    </w:p>
    <w:p w14:paraId="046EF886">
      <w:pPr>
        <w:spacing w:line="600" w:lineRule="exact"/>
        <w:ind w:firstLine="643" w:firstLineChars="200"/>
        <w:rPr>
          <w:rFonts w:hint="eastAsia" w:ascii="黑体" w:hAnsi="黑体" w:eastAsia="黑体" w:cs="黑体"/>
          <w:sz w:val="32"/>
          <w:szCs w:val="40"/>
        </w:rPr>
      </w:pPr>
      <w:r>
        <w:rPr>
          <w:rFonts w:hint="eastAsia" w:ascii="楷体_GB2312" w:hAnsi="楷体_GB2312" w:eastAsia="楷体_GB2312" w:cs="楷体_GB2312"/>
          <w:b/>
          <w:bCs/>
          <w:sz w:val="32"/>
          <w:szCs w:val="40"/>
        </w:rPr>
        <w:t>2.专病门诊开放情况：</w:t>
      </w:r>
      <w:r>
        <w:rPr>
          <w:rFonts w:hint="eastAsia" w:ascii="仿宋_GB2312" w:hAnsi="仿宋_GB2312" w:eastAsia="仿宋_GB2312" w:cs="仿宋_GB2312"/>
          <w:sz w:val="32"/>
          <w:szCs w:val="40"/>
        </w:rPr>
        <w:t>指根据本专科特色，围绕某一病种或症状设立的门诊情况。</w:t>
      </w:r>
    </w:p>
    <w:p w14:paraId="777BC0EE">
      <w:pPr>
        <w:spacing w:line="600" w:lineRule="exact"/>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3.中医类别医师占比：</w:t>
      </w:r>
      <w:r>
        <w:rPr>
          <w:rFonts w:hint="eastAsia" w:ascii="仿宋_GB2312" w:hAnsi="仿宋_GB2312" w:eastAsia="仿宋_GB2312" w:cs="仿宋_GB2312"/>
          <w:sz w:val="32"/>
          <w:szCs w:val="40"/>
        </w:rPr>
        <w:t>中医类别医师指电子化注册系统显示已激活状态并在册的中医专业、中西医结合专业、少数民族医专业执业（助理）医师和取得《中医（专长）医师资格证书》并注册的人员数量。医师总数为电子化注册系统显示已激活状态并在册的医师总数。</w:t>
      </w:r>
    </w:p>
    <w:p w14:paraId="5A88D3F6">
      <w:pPr>
        <w:spacing w:line="600" w:lineRule="exact"/>
        <w:ind w:firstLine="643" w:firstLineChars="200"/>
        <w:rPr>
          <w:rFonts w:hint="eastAsia" w:ascii="仿宋_GB2312" w:hAnsi="仿宋_GB2312" w:eastAsia="仿宋_GB2312" w:cs="仿宋_GB2312"/>
          <w:sz w:val="32"/>
          <w:szCs w:val="40"/>
          <w:highlight w:val="yellow"/>
        </w:rPr>
      </w:pPr>
      <w:r>
        <w:rPr>
          <w:rFonts w:hint="eastAsia" w:ascii="楷体_GB2312" w:hAnsi="楷体_GB2312" w:eastAsia="楷体_GB2312" w:cs="楷体_GB2312"/>
          <w:b/>
          <w:bCs/>
          <w:sz w:val="32"/>
          <w:szCs w:val="40"/>
        </w:rPr>
        <w:t>4.专科总诊疗量及增长情况（包括门诊和住院）：</w:t>
      </w:r>
      <w:r>
        <w:rPr>
          <w:rFonts w:hint="eastAsia" w:ascii="仿宋_GB2312" w:hAnsi="仿宋_GB2312" w:eastAsia="仿宋_GB2312" w:cs="仿宋_GB2312"/>
          <w:sz w:val="32"/>
          <w:szCs w:val="40"/>
        </w:rPr>
        <w:t>专科总诊疗量指一个时间段内（如：年度、建设周期）专科门诊、住院诊疗量之和。</w:t>
      </w:r>
    </w:p>
    <w:p w14:paraId="1087201F">
      <w:pPr>
        <w:spacing w:line="60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专科总诊疗量增长情况指一个时间段内（如：年度、建设周期）专科总诊疗量增长情况（包括增长绝对值及增长率）。</w:t>
      </w:r>
    </w:p>
    <w:p w14:paraId="0BE8506E">
      <w:pPr>
        <w:spacing w:line="60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w:t>
      </w:r>
      <w:r>
        <w:rPr>
          <w:rFonts w:hint="eastAsia" w:ascii="楷体_GB2312" w:hAnsi="楷体_GB2312" w:eastAsia="楷体_GB2312" w:cs="楷体_GB2312"/>
          <w:b/>
          <w:bCs/>
          <w:sz w:val="32"/>
          <w:szCs w:val="40"/>
        </w:rPr>
        <w:t>中药使用率（包括门诊和住院）：</w:t>
      </w:r>
      <w:r>
        <w:rPr>
          <w:rFonts w:hint="eastAsia" w:ascii="仿宋_GB2312" w:hAnsi="仿宋_GB2312" w:eastAsia="仿宋_GB2312" w:cs="仿宋_GB2312"/>
          <w:sz w:val="32"/>
          <w:szCs w:val="40"/>
        </w:rPr>
        <w:t>指专科就诊患者中应用中药（中成药、散装中药饮片、小包装中药饮片、中药配方颗粒、医疗机构中药制剂）的人次数占总诊疗人次数的比例，包括门诊中药使用率和住院中药使用率。</w:t>
      </w:r>
    </w:p>
    <w:p w14:paraId="57B67DB7">
      <w:pPr>
        <w:spacing w:line="600" w:lineRule="exact"/>
        <w:ind w:firstLine="643" w:firstLineChars="200"/>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6.中医优势病种：</w:t>
      </w:r>
      <w:r>
        <w:rPr>
          <w:rFonts w:hint="eastAsia" w:ascii="仿宋_GB2312" w:hAnsi="仿宋_GB2312" w:eastAsia="仿宋_GB2312" w:cs="仿宋_GB2312"/>
          <w:sz w:val="32"/>
          <w:szCs w:val="40"/>
        </w:rPr>
        <w:t>包括但不限于中国中医药循证医学中心公布的50个中医优势病种以及国家中医药管理局和中华医学会、中华中医药学会、中国中西医结合学会、中国民族医药学会推荐使用的中医诊疗方案和临床路径涉及病种，具体病种由各专业国家中医优势专科联合体结合实际确定。</w:t>
      </w:r>
    </w:p>
    <w:p w14:paraId="553C98B0">
      <w:pPr>
        <w:spacing w:line="600" w:lineRule="exact"/>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7.以中医为主治疗的出院患者比例：</w:t>
      </w:r>
      <w:r>
        <w:rPr>
          <w:rFonts w:hint="eastAsia" w:ascii="仿宋_GB2312" w:hAnsi="仿宋_GB2312" w:eastAsia="仿宋_GB2312" w:cs="仿宋_GB2312"/>
          <w:sz w:val="32"/>
          <w:szCs w:val="40"/>
        </w:rPr>
        <w:t>指出院患者的住院费用中，中医药治疗费用占住院治疗费用</w:t>
      </w:r>
      <w:r>
        <w:rPr>
          <w:rFonts w:hint="eastAsia" w:ascii="宋体" w:hAnsi="宋体" w:cs="宋体"/>
          <w:sz w:val="32"/>
          <w:szCs w:val="40"/>
        </w:rPr>
        <w:t>≧</w:t>
      </w:r>
      <w:r>
        <w:rPr>
          <w:rFonts w:hint="eastAsia" w:ascii="仿宋_GB2312" w:hAnsi="仿宋_GB2312" w:eastAsia="仿宋_GB2312" w:cs="仿宋_GB2312"/>
          <w:sz w:val="32"/>
          <w:szCs w:val="40"/>
        </w:rPr>
        <w:t>60%的出院患者人次数占总出院患者人次数的比例。</w:t>
      </w:r>
    </w:p>
    <w:p w14:paraId="65A2CCA9">
      <w:pPr>
        <w:spacing w:line="60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8.区域外患者占比（跨省/跨市）：</w:t>
      </w:r>
      <w:r>
        <w:rPr>
          <w:rFonts w:hint="eastAsia" w:ascii="仿宋_GB2312" w:hAnsi="仿宋_GB2312" w:eastAsia="仿宋_GB2312" w:cs="仿宋_GB2312"/>
          <w:sz w:val="32"/>
          <w:szCs w:val="40"/>
        </w:rPr>
        <w:t>指专科接诊的来自本区域以外的患者人次数占全部就诊患者总数的比例，分别以医院所在省级行政区域和地市级行政区域进行统计。</w:t>
      </w:r>
    </w:p>
    <w:p w14:paraId="7CF61910">
      <w:pPr>
        <w:spacing w:line="600" w:lineRule="exact"/>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9.本专科医疗机构中药制剂品种数及新增制剂情况：</w:t>
      </w:r>
      <w:r>
        <w:rPr>
          <w:rFonts w:hint="eastAsia" w:ascii="仿宋_GB2312" w:hAnsi="仿宋_GB2312" w:eastAsia="仿宋_GB2312" w:cs="仿宋_GB2312"/>
          <w:sz w:val="32"/>
          <w:szCs w:val="40"/>
        </w:rPr>
        <w:t>本专科医疗机构中药制剂品种数指专科所在单位医疗机构中药制剂中由本专科牵头申报注册或备案的中药制剂品种总数。</w:t>
      </w:r>
    </w:p>
    <w:p w14:paraId="62471AFF">
      <w:pPr>
        <w:spacing w:line="600" w:lineRule="exact"/>
        <w:ind w:firstLine="640" w:firstLineChars="200"/>
        <w:rPr>
          <w:rFonts w:hint="eastAsia" w:ascii="楷体_GB2312" w:hAnsi="楷体_GB2312" w:eastAsia="楷体_GB2312" w:cs="楷体_GB2312"/>
          <w:sz w:val="32"/>
          <w:szCs w:val="40"/>
        </w:rPr>
      </w:pPr>
      <w:r>
        <w:rPr>
          <w:rFonts w:hint="eastAsia" w:ascii="仿宋_GB2312" w:hAnsi="仿宋_GB2312" w:eastAsia="仿宋_GB2312" w:cs="仿宋_GB2312"/>
          <w:sz w:val="32"/>
          <w:szCs w:val="40"/>
        </w:rPr>
        <w:t>本专科新增医疗机构中药制剂情况指获批国家中医优势专科后由专科牵头申报注册或备案成功的医疗机构中药制剂情况。</w:t>
      </w:r>
    </w:p>
    <w:p w14:paraId="3DEF0DF6">
      <w:pPr>
        <w:spacing w:line="60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10.专科团队建设情况：</w:t>
      </w:r>
      <w:r>
        <w:rPr>
          <w:rFonts w:hint="eastAsia" w:ascii="仿宋_GB2312" w:hAnsi="仿宋_GB2312" w:eastAsia="仿宋_GB2312" w:cs="仿宋_GB2312"/>
          <w:sz w:val="32"/>
          <w:szCs w:val="40"/>
        </w:rPr>
        <w:t>指专科团队的整体规模、结构及人才建设成效，具体包括专科总人数及人员增长情况，科室负责人、亚专业带头人、后备骨干等人才梯队建设情况，国家级、省级骨干人才培养情况。</w:t>
      </w:r>
    </w:p>
    <w:p w14:paraId="43E40DDF">
      <w:pPr>
        <w:spacing w:line="60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11.名老中医传承工作室情况（国家级/省级）：</w:t>
      </w:r>
      <w:r>
        <w:rPr>
          <w:rFonts w:hint="eastAsia" w:ascii="仿宋_GB2312" w:hAnsi="仿宋_GB2312" w:eastAsia="仿宋_GB2312" w:cs="仿宋_GB2312"/>
          <w:sz w:val="32"/>
          <w:szCs w:val="40"/>
        </w:rPr>
        <w:t>指名老中医在专科所在医院建设的国家级、省级传承工作室。</w:t>
      </w:r>
    </w:p>
    <w:p w14:paraId="2C7A40E3">
      <w:pPr>
        <w:spacing w:line="600" w:lineRule="exact"/>
        <w:ind w:firstLine="643" w:firstLineChars="200"/>
        <w:rPr>
          <w:rFonts w:ascii="楷体_GB2312" w:hAnsi="楷体_GB2312" w:eastAsia="楷体_GB2312" w:cs="楷体_GB2312"/>
          <w:b/>
          <w:bCs/>
          <w:sz w:val="32"/>
          <w:szCs w:val="40"/>
        </w:rPr>
      </w:pPr>
      <w:r>
        <w:rPr>
          <w:rFonts w:hint="eastAsia" w:ascii="楷体_GB2312" w:hAnsi="楷体_GB2312" w:eastAsia="楷体_GB2312" w:cs="楷体_GB2312"/>
          <w:b/>
          <w:bCs/>
          <w:sz w:val="32"/>
          <w:szCs w:val="40"/>
        </w:rPr>
        <w:t>12.获得科技成果奖项及承担科研项目情况（省部级以上）：</w:t>
      </w:r>
      <w:r>
        <w:rPr>
          <w:rFonts w:hint="eastAsia" w:ascii="仿宋_GB2312" w:hAnsi="仿宋_GB2312" w:eastAsia="仿宋_GB2312" w:cs="仿宋_GB2312"/>
          <w:sz w:val="32"/>
          <w:szCs w:val="40"/>
        </w:rPr>
        <w:t>获得国家科学技术奖；获得省、部级科技奖励；经科技部登记的社会力量设立的科学技术奖（可在国家奖励办网站社会科技奖励目录查询）。省科技厅、国家部门设立的省部级科技项目，以及国家重点研发计划、国家重大专项、国家自然科学基金等国家科技项目的项目/课题承担情况及经费情况。</w:t>
      </w:r>
    </w:p>
    <w:p w14:paraId="4F06DD20">
      <w:pPr>
        <w:spacing w:line="600" w:lineRule="exact"/>
        <w:ind w:firstLine="643" w:firstLineChars="200"/>
        <w:rPr>
          <w:rFonts w:hint="eastAsia" w:ascii="仿宋_GB2312" w:hAnsi="仿宋_GB2312" w:eastAsia="仿宋_GB2312" w:cs="仿宋_GB2312"/>
          <w:b w:val="0"/>
          <w:bCs w:val="0"/>
          <w:sz w:val="32"/>
          <w:szCs w:val="40"/>
        </w:rPr>
      </w:pPr>
      <w:r>
        <w:rPr>
          <w:rFonts w:hint="eastAsia" w:ascii="楷体_GB2312" w:hAnsi="楷体_GB2312" w:eastAsia="楷体_GB2312" w:cs="楷体_GB2312"/>
          <w:b/>
          <w:bCs/>
          <w:sz w:val="32"/>
          <w:szCs w:val="40"/>
        </w:rPr>
        <w:t>13.高水平著作、论文、专利等情况：</w:t>
      </w:r>
      <w:r>
        <w:rPr>
          <w:rFonts w:hint="eastAsia" w:ascii="仿宋_GB2312" w:hAnsi="仿宋_GB2312" w:eastAsia="仿宋_GB2312" w:cs="仿宋_GB2312"/>
          <w:sz w:val="32"/>
          <w:szCs w:val="40"/>
        </w:rPr>
        <w:t>相关研究发表于JCR Q1/中科院1区期刊；入选国家级规划教材；指导或参与国家标准、行业标准的起草；著作结论被纳入临床路径指南；获得发明专利、实用新型专利。</w:t>
      </w:r>
    </w:p>
    <w:p w14:paraId="515F1151">
      <w:pPr>
        <w:spacing w:line="600" w:lineRule="exact"/>
        <w:ind w:firstLine="643" w:firstLineChars="200"/>
        <w:rPr>
          <w:rFonts w:ascii="楷体_GB2312" w:hAnsi="楷体_GB2312" w:eastAsia="楷体_GB2312" w:cs="楷体_GB2312"/>
          <w:sz w:val="32"/>
          <w:szCs w:val="40"/>
        </w:rPr>
      </w:pPr>
      <w:r>
        <w:rPr>
          <w:rFonts w:hint="eastAsia" w:ascii="楷体_GB2312" w:hAnsi="楷体_GB2312" w:eastAsia="楷体_GB2312" w:cs="楷体_GB2312"/>
          <w:b/>
          <w:bCs/>
          <w:sz w:val="32"/>
          <w:szCs w:val="40"/>
        </w:rPr>
        <w:t>14.</w:t>
      </w:r>
      <w:r>
        <w:rPr>
          <w:rFonts w:ascii="楷体_GB2312" w:hAnsi="楷体_GB2312" w:eastAsia="楷体_GB2312" w:cs="楷体_GB2312"/>
          <w:b/>
          <w:bCs/>
          <w:sz w:val="32"/>
          <w:szCs w:val="40"/>
        </w:rPr>
        <w:t>开展中医优势病种疗效提升评价情况</w:t>
      </w:r>
      <w:r>
        <w:rPr>
          <w:rFonts w:hint="eastAsia" w:ascii="楷体_GB2312" w:hAnsi="楷体_GB2312" w:eastAsia="楷体_GB2312" w:cs="楷体_GB2312"/>
          <w:b/>
          <w:bCs/>
          <w:sz w:val="32"/>
          <w:szCs w:val="40"/>
        </w:rPr>
        <w:t>：</w:t>
      </w:r>
      <w:r>
        <w:rPr>
          <w:rFonts w:hint="eastAsia" w:ascii="仿宋_GB2312" w:hAnsi="仿宋_GB2312" w:eastAsia="仿宋_GB2312" w:cs="仿宋_GB2312"/>
          <w:sz w:val="32"/>
          <w:szCs w:val="40"/>
        </w:rPr>
        <w:t>指对中医药在优势病种的临床疗效进行系统性评估与改进的过程。评价指标涵盖中医优势病种疗效的有效性、安全性、经济性及患者体验等多维度评价。</w:t>
      </w:r>
    </w:p>
    <w:p w14:paraId="5332C20C">
      <w:pPr>
        <w:spacing w:line="600" w:lineRule="exact"/>
        <w:ind w:firstLine="643" w:firstLineChars="200"/>
        <w:rPr>
          <w:rFonts w:ascii="楷体_GB2312" w:hAnsi="楷体_GB2312" w:eastAsia="楷体_GB2312" w:cs="楷体_GB2312"/>
          <w:sz w:val="32"/>
          <w:szCs w:val="40"/>
        </w:rPr>
      </w:pPr>
      <w:r>
        <w:rPr>
          <w:rFonts w:hint="eastAsia" w:ascii="楷体_GB2312" w:hAnsi="楷体_GB2312" w:eastAsia="楷体_GB2312" w:cs="楷体_GB2312"/>
          <w:b/>
          <w:bCs/>
          <w:sz w:val="32"/>
          <w:szCs w:val="40"/>
        </w:rPr>
        <w:t>15.牵头组建国家中医优势专科联合体及省级/区域中医优势专科联盟情况，对县级中医医院对口帮扶情况：</w:t>
      </w:r>
      <w:r>
        <w:rPr>
          <w:rFonts w:hint="eastAsia" w:ascii="仿宋_GB2312" w:hAnsi="仿宋_GB2312" w:eastAsia="仿宋_GB2312" w:cs="仿宋_GB2312"/>
          <w:sz w:val="32"/>
          <w:szCs w:val="40"/>
        </w:rPr>
        <w:t>牵头组建国家中医优势专科联合体及省级/区域中医优势专科联盟情况指专科作为牵头单位组建的国家中医优势专科联合体、区域中医优势专科联盟、省级中医优势专科联盟情况，以及联盟成员单位数量、推进成员单位服务能力提升情况等。</w:t>
      </w:r>
    </w:p>
    <w:p w14:paraId="1C8EE33D">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对县级中医医院对口帮扶情况指通过专科</w:t>
      </w:r>
      <w:r>
        <w:rPr>
          <w:rFonts w:hint="eastAsia" w:cs="仿宋_GB2312"/>
          <w:sz w:val="32"/>
          <w:szCs w:val="40"/>
          <w:lang w:val="en-US" w:eastAsia="zh-CN"/>
        </w:rPr>
        <w:t>联盟</w:t>
      </w:r>
      <w:r>
        <w:rPr>
          <w:rFonts w:hint="eastAsia" w:ascii="仿宋_GB2312" w:hAnsi="仿宋_GB2312" w:eastAsia="仿宋_GB2312" w:cs="仿宋_GB2312"/>
          <w:sz w:val="32"/>
          <w:szCs w:val="40"/>
        </w:rPr>
        <w:t>、对口帮扶等形式指导县级中医医院相关专科服务能力提升情况。</w:t>
      </w:r>
      <w:bookmarkStart w:id="2" w:name="_GoBack"/>
      <w:bookmarkEnd w:id="2"/>
    </w:p>
    <w:p w14:paraId="699EE769">
      <w:pPr>
        <w:spacing w:line="60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16.在中医质控中心建设中发挥作用情况（国家级/省级）：</w:t>
      </w:r>
      <w:r>
        <w:rPr>
          <w:rFonts w:hint="eastAsia" w:ascii="仿宋_GB2312" w:hAnsi="仿宋_GB2312" w:eastAsia="仿宋_GB2312" w:cs="仿宋_GB2312"/>
          <w:sz w:val="32"/>
          <w:szCs w:val="40"/>
        </w:rPr>
        <w:t>指依托专科所在医院建设的国家级和省级中医质控中心情况。</w:t>
      </w:r>
    </w:p>
    <w:p w14:paraId="6D7457D1">
      <w:pPr>
        <w:spacing w:line="600" w:lineRule="exact"/>
        <w:ind w:firstLine="643" w:firstLineChars="200"/>
        <w:rPr>
          <w:rFonts w:hint="eastAsia" w:ascii="仿宋_GB2312" w:hAnsi="仿宋_GB2312" w:eastAsia="仿宋_GB2312" w:cs="仿宋_GB2312"/>
          <w:b w:val="0"/>
          <w:bCs w:val="0"/>
          <w:sz w:val="32"/>
          <w:szCs w:val="40"/>
        </w:rPr>
      </w:pPr>
      <w:r>
        <w:rPr>
          <w:rFonts w:hint="eastAsia" w:ascii="楷体_GB2312" w:hAnsi="仿宋_GB2312" w:eastAsia="楷体_GB2312" w:cs="仿宋_GB2312"/>
          <w:b/>
          <w:bCs/>
          <w:sz w:val="32"/>
          <w:szCs w:val="40"/>
        </w:rPr>
        <w:t>17.牵头制定并推广中医优势病种诊疗方案、指南等规范标准情况：</w:t>
      </w:r>
      <w:r>
        <w:rPr>
          <w:rFonts w:hint="eastAsia" w:ascii="仿宋_GB2312" w:hAnsi="仿宋_GB2312" w:eastAsia="仿宋_GB2312" w:cs="仿宋_GB2312"/>
          <w:sz w:val="32"/>
          <w:szCs w:val="40"/>
        </w:rPr>
        <w:t>包括但不限于各级中医药主管部门发布的中医优势病种诊疗方案、指南、临床路径，以及推动发布的国家或者团体标准，并牵头开展解读、培训、推广、应用。</w:t>
      </w:r>
    </w:p>
    <w:p w14:paraId="408C4301">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both"/>
        <w:textAlignment w:val="center"/>
        <w:rPr>
          <w:rFonts w:hint="eastAsia" w:ascii="仿宋_GB2312" w:hAnsi="宋体" w:eastAsia="仿宋_GB2312" w:cs="仿宋_GB2312"/>
          <w:i w:val="0"/>
          <w:iCs w:val="0"/>
          <w:color w:val="000000"/>
          <w:kern w:val="0"/>
          <w:sz w:val="21"/>
          <w:szCs w:val="21"/>
          <w:u w:val="none"/>
          <w:lang w:val="en-US" w:eastAsia="zh-CN" w:bidi="ar"/>
        </w:rPr>
      </w:pPr>
    </w:p>
    <w:sectPr>
      <w:pgSz w:w="11906" w:h="16838"/>
      <w:pgMar w:top="1701" w:right="1531" w:bottom="1701" w:left="1531"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FE66B1E1-8B23-41F2-82CA-698D483C0DAA}"/>
  </w:font>
  <w:font w:name="宋体">
    <w:panose1 w:val="02010600030101010101"/>
    <w:charset w:val="86"/>
    <w:family w:val="auto"/>
    <w:pitch w:val="default"/>
    <w:sig w:usb0="00000203" w:usb1="288F0000" w:usb2="00000006" w:usb3="00000000" w:csb0="00040001" w:csb1="00000000"/>
    <w:embedRegular r:id="rId2" w:fontKey="{D809398C-A510-46CB-9F88-7DF1477731D6}"/>
  </w:font>
  <w:font w:name="Wingdings">
    <w:panose1 w:val="05000000000000000000"/>
    <w:charset w:val="02"/>
    <w:family w:val="auto"/>
    <w:pitch w:val="default"/>
    <w:sig w:usb0="00000000" w:usb1="00000000" w:usb2="00000000" w:usb3="00000000" w:csb0="80000000" w:csb1="00000000"/>
    <w:embedRegular r:id="rId3" w:fontKey="{529E8C7B-0F67-4867-9701-0BA421CE0D26}"/>
  </w:font>
  <w:font w:name="Arial">
    <w:panose1 w:val="020B0604020202020204"/>
    <w:charset w:val="01"/>
    <w:family w:val="swiss"/>
    <w:pitch w:val="default"/>
    <w:sig w:usb0="E0002EFF" w:usb1="C000785B" w:usb2="00000009" w:usb3="00000000" w:csb0="400001FF" w:csb1="FFFF0000"/>
    <w:embedRegular r:id="rId4" w:fontKey="{0DA8D4A6-9462-4D70-9871-6F764616509A}"/>
  </w:font>
  <w:font w:name="黑体">
    <w:panose1 w:val="02010609060101010101"/>
    <w:charset w:val="86"/>
    <w:family w:val="auto"/>
    <w:pitch w:val="default"/>
    <w:sig w:usb0="800002BF" w:usb1="38CF7CFA" w:usb2="00000016" w:usb3="00000000" w:csb0="00040001" w:csb1="00000000"/>
    <w:embedRegular r:id="rId5" w:fontKey="{62D530B3-C9C1-48DA-91A1-8FC15802B982}"/>
  </w:font>
  <w:font w:name="Courier New">
    <w:panose1 w:val="02070309020205020404"/>
    <w:charset w:val="01"/>
    <w:family w:val="modern"/>
    <w:pitch w:val="default"/>
    <w:sig w:usb0="E0002EFF" w:usb1="C0007843" w:usb2="00000009" w:usb3="00000000" w:csb0="400001FF" w:csb1="FFFF0000"/>
    <w:embedRegular r:id="rId6" w:fontKey="{36E24E48-2F58-4394-BE85-42E06A70133E}"/>
  </w:font>
  <w:font w:name="Symbol">
    <w:panose1 w:val="05050102010706020507"/>
    <w:charset w:val="02"/>
    <w:family w:val="roman"/>
    <w:pitch w:val="default"/>
    <w:sig w:usb0="00000000" w:usb1="00000000" w:usb2="00000000" w:usb3="00000000" w:csb0="80000000" w:csb1="00000000"/>
    <w:embedRegular r:id="rId7" w:fontKey="{4B444E80-9323-4E00-8A2F-585EE70D063E}"/>
  </w:font>
  <w:font w:name="Calibri">
    <w:panose1 w:val="020F0502020204030204"/>
    <w:charset w:val="00"/>
    <w:family w:val="swiss"/>
    <w:pitch w:val="default"/>
    <w:sig w:usb0="E4002EFF" w:usb1="C000247B" w:usb2="00000009" w:usb3="00000000" w:csb0="200001FF" w:csb1="00000000"/>
    <w:embedRegular r:id="rId8" w:fontKey="{6ADBC277-1A3F-4569-9E06-AAB66970E5E3}"/>
  </w:font>
  <w:font w:name="仿宋_GB2312">
    <w:panose1 w:val="02010609030101010101"/>
    <w:charset w:val="86"/>
    <w:family w:val="modern"/>
    <w:pitch w:val="default"/>
    <w:sig w:usb0="00000001" w:usb1="080E0000" w:usb2="00000000" w:usb3="00000000" w:csb0="00040000" w:csb1="00000000"/>
    <w:embedRegular r:id="rId9" w:fontKey="{C3C6F087-FF11-40D2-B9DD-E766D313DDB3}"/>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10" w:fontKey="{6A92179D-9C4D-4D6D-A8D0-04E4C229F94B}"/>
  </w:font>
  <w:font w:name="仿宋">
    <w:panose1 w:val="02010609060101010101"/>
    <w:charset w:val="86"/>
    <w:family w:val="modern"/>
    <w:pitch w:val="default"/>
    <w:sig w:usb0="800002BF" w:usb1="38CF7CFA" w:usb2="00000016" w:usb3="00000000" w:csb0="00040001" w:csb1="00000000"/>
    <w:embedRegular r:id="rId11" w:fontKey="{34953355-A10D-489F-A5A3-E38CEDD259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1D961">
    <w:pPr>
      <w:pStyle w:val="3"/>
      <w:ind w:firstLine="360"/>
      <w:rPr>
        <w:rFonts w:hint="eastAsia"/>
      </w:rPr>
    </w:pPr>
    <w:r>
      <w:rPr>
        <w:rFonts w:hint="eastAsia"/>
      </w:rPr>
      <w:pict>
        <v:shape id="_x0000_s1025" o:spid="_x0000_s102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A71FB6F">
                <w:pPr>
                  <w:pStyle w:val="3"/>
                  <w:ind w:firstLine="640"/>
                  <w:jc w:val="center"/>
                  <w:rPr>
                    <w:rFonts w:hint="eastAsia"/>
                    <w:sz w:val="32"/>
                    <w:szCs w:val="32"/>
                  </w:rPr>
                </w:pPr>
                <w:r>
                  <w:rPr>
                    <w:rFonts w:hint="eastAsia"/>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rFonts w:hint="eastAsia"/>
                    <w:sz w:val="32"/>
                    <w:szCs w:val="32"/>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639AC">
    <w:pPr>
      <w:pStyle w:val="3"/>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35680">
    <w:pPr>
      <w:pStyle w:val="3"/>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E6544">
    <w:pPr>
      <w:ind w:firstLine="64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FBAB0">
    <w:pPr>
      <w:pStyle w:val="4"/>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C777F">
    <w:pPr>
      <w:pStyle w:val="4"/>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0EDAF7"/>
    <w:multiLevelType w:val="singleLevel"/>
    <w:tmpl w:val="2C0EDAF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E2YTJlODIyMzliOWU0ZGYxYzJmZDFkYWViZWRhM2MifQ=="/>
  </w:docVars>
  <w:rsids>
    <w:rsidRoot w:val="00F30872"/>
    <w:rsid w:val="00004207"/>
    <w:rsid w:val="00037632"/>
    <w:rsid w:val="00042370"/>
    <w:rsid w:val="00043266"/>
    <w:rsid w:val="000449C6"/>
    <w:rsid w:val="00053F92"/>
    <w:rsid w:val="000624AC"/>
    <w:rsid w:val="00062BFD"/>
    <w:rsid w:val="0008177A"/>
    <w:rsid w:val="000A6ECD"/>
    <w:rsid w:val="000C70F1"/>
    <w:rsid w:val="000F15F3"/>
    <w:rsid w:val="000F2293"/>
    <w:rsid w:val="001021F5"/>
    <w:rsid w:val="00122BB5"/>
    <w:rsid w:val="00130D56"/>
    <w:rsid w:val="00132F7B"/>
    <w:rsid w:val="0013630B"/>
    <w:rsid w:val="00154811"/>
    <w:rsid w:val="00170054"/>
    <w:rsid w:val="001916BA"/>
    <w:rsid w:val="00191730"/>
    <w:rsid w:val="00194C1B"/>
    <w:rsid w:val="00195CE3"/>
    <w:rsid w:val="001A61E2"/>
    <w:rsid w:val="001C1769"/>
    <w:rsid w:val="001C2848"/>
    <w:rsid w:val="001C4D2D"/>
    <w:rsid w:val="001C5F3D"/>
    <w:rsid w:val="001D3B24"/>
    <w:rsid w:val="001E0479"/>
    <w:rsid w:val="001F2CB8"/>
    <w:rsid w:val="00210265"/>
    <w:rsid w:val="002327C3"/>
    <w:rsid w:val="002338C5"/>
    <w:rsid w:val="00236B05"/>
    <w:rsid w:val="002826DB"/>
    <w:rsid w:val="002A5621"/>
    <w:rsid w:val="002B5D25"/>
    <w:rsid w:val="002C3944"/>
    <w:rsid w:val="002C39EA"/>
    <w:rsid w:val="002D72A8"/>
    <w:rsid w:val="002E1DBE"/>
    <w:rsid w:val="002F3B90"/>
    <w:rsid w:val="002F707A"/>
    <w:rsid w:val="00301EE9"/>
    <w:rsid w:val="00320D15"/>
    <w:rsid w:val="00346F4D"/>
    <w:rsid w:val="00356B45"/>
    <w:rsid w:val="0036226D"/>
    <w:rsid w:val="00362417"/>
    <w:rsid w:val="00366616"/>
    <w:rsid w:val="00377E7C"/>
    <w:rsid w:val="003B7DC9"/>
    <w:rsid w:val="003C7332"/>
    <w:rsid w:val="003D4F0E"/>
    <w:rsid w:val="003D5917"/>
    <w:rsid w:val="003E44C5"/>
    <w:rsid w:val="00410AC9"/>
    <w:rsid w:val="00416F93"/>
    <w:rsid w:val="00426DB6"/>
    <w:rsid w:val="00432606"/>
    <w:rsid w:val="00441C80"/>
    <w:rsid w:val="0045638E"/>
    <w:rsid w:val="0045685F"/>
    <w:rsid w:val="0046359A"/>
    <w:rsid w:val="004635A4"/>
    <w:rsid w:val="0047358F"/>
    <w:rsid w:val="00475FCE"/>
    <w:rsid w:val="00485A01"/>
    <w:rsid w:val="00492FE6"/>
    <w:rsid w:val="004A166D"/>
    <w:rsid w:val="004A2C03"/>
    <w:rsid w:val="004A5198"/>
    <w:rsid w:val="004A58A5"/>
    <w:rsid w:val="004A6B8B"/>
    <w:rsid w:val="004B1A19"/>
    <w:rsid w:val="004C0413"/>
    <w:rsid w:val="004C5C75"/>
    <w:rsid w:val="004F3349"/>
    <w:rsid w:val="004F3C8A"/>
    <w:rsid w:val="004F5151"/>
    <w:rsid w:val="005158ED"/>
    <w:rsid w:val="00517F88"/>
    <w:rsid w:val="005252BE"/>
    <w:rsid w:val="00531A94"/>
    <w:rsid w:val="00532F31"/>
    <w:rsid w:val="00546922"/>
    <w:rsid w:val="005539BB"/>
    <w:rsid w:val="00573C69"/>
    <w:rsid w:val="00581788"/>
    <w:rsid w:val="0058226B"/>
    <w:rsid w:val="00584B1E"/>
    <w:rsid w:val="005A4C7F"/>
    <w:rsid w:val="005B0B1F"/>
    <w:rsid w:val="005B3A0F"/>
    <w:rsid w:val="005B59CC"/>
    <w:rsid w:val="005D0F31"/>
    <w:rsid w:val="00600FB6"/>
    <w:rsid w:val="00620402"/>
    <w:rsid w:val="00643C0A"/>
    <w:rsid w:val="00647E8E"/>
    <w:rsid w:val="006554F9"/>
    <w:rsid w:val="00656BD0"/>
    <w:rsid w:val="0067334A"/>
    <w:rsid w:val="00681B71"/>
    <w:rsid w:val="00685BC0"/>
    <w:rsid w:val="006A2872"/>
    <w:rsid w:val="006B7519"/>
    <w:rsid w:val="006C6BA4"/>
    <w:rsid w:val="006D0D85"/>
    <w:rsid w:val="006E74E3"/>
    <w:rsid w:val="006F31D5"/>
    <w:rsid w:val="007077F3"/>
    <w:rsid w:val="007428B4"/>
    <w:rsid w:val="00747383"/>
    <w:rsid w:val="00752851"/>
    <w:rsid w:val="00772381"/>
    <w:rsid w:val="007A29AD"/>
    <w:rsid w:val="007B1742"/>
    <w:rsid w:val="007B764E"/>
    <w:rsid w:val="0080174E"/>
    <w:rsid w:val="0081180B"/>
    <w:rsid w:val="00832666"/>
    <w:rsid w:val="00834A7D"/>
    <w:rsid w:val="0086415F"/>
    <w:rsid w:val="00867E73"/>
    <w:rsid w:val="00884F28"/>
    <w:rsid w:val="00895347"/>
    <w:rsid w:val="008A2F85"/>
    <w:rsid w:val="008A6E61"/>
    <w:rsid w:val="008B1CF9"/>
    <w:rsid w:val="008B5066"/>
    <w:rsid w:val="008C279F"/>
    <w:rsid w:val="008D2ED0"/>
    <w:rsid w:val="008E1FEE"/>
    <w:rsid w:val="008F6654"/>
    <w:rsid w:val="009159F7"/>
    <w:rsid w:val="00946075"/>
    <w:rsid w:val="00947C01"/>
    <w:rsid w:val="0095145E"/>
    <w:rsid w:val="009524F2"/>
    <w:rsid w:val="00976FF5"/>
    <w:rsid w:val="0098365B"/>
    <w:rsid w:val="00986F8D"/>
    <w:rsid w:val="009943B4"/>
    <w:rsid w:val="009A5EFA"/>
    <w:rsid w:val="009A676A"/>
    <w:rsid w:val="009B319A"/>
    <w:rsid w:val="009C3063"/>
    <w:rsid w:val="00A1244C"/>
    <w:rsid w:val="00A15C94"/>
    <w:rsid w:val="00A41C68"/>
    <w:rsid w:val="00A447D7"/>
    <w:rsid w:val="00A46AC2"/>
    <w:rsid w:val="00A51B30"/>
    <w:rsid w:val="00A56AAC"/>
    <w:rsid w:val="00A648C8"/>
    <w:rsid w:val="00A67E3E"/>
    <w:rsid w:val="00A83C3B"/>
    <w:rsid w:val="00A917DD"/>
    <w:rsid w:val="00A95A20"/>
    <w:rsid w:val="00AA0443"/>
    <w:rsid w:val="00AA2162"/>
    <w:rsid w:val="00AB23C9"/>
    <w:rsid w:val="00AC268D"/>
    <w:rsid w:val="00AD010A"/>
    <w:rsid w:val="00AF0D54"/>
    <w:rsid w:val="00B07F5F"/>
    <w:rsid w:val="00B12799"/>
    <w:rsid w:val="00B13EEA"/>
    <w:rsid w:val="00B2254C"/>
    <w:rsid w:val="00B25977"/>
    <w:rsid w:val="00B50C19"/>
    <w:rsid w:val="00B77068"/>
    <w:rsid w:val="00B91401"/>
    <w:rsid w:val="00BA1C7B"/>
    <w:rsid w:val="00BA4943"/>
    <w:rsid w:val="00BC5892"/>
    <w:rsid w:val="00BC7B9C"/>
    <w:rsid w:val="00BE1431"/>
    <w:rsid w:val="00BF5B28"/>
    <w:rsid w:val="00C078E0"/>
    <w:rsid w:val="00C14977"/>
    <w:rsid w:val="00C15574"/>
    <w:rsid w:val="00C42D30"/>
    <w:rsid w:val="00C659F8"/>
    <w:rsid w:val="00C774B2"/>
    <w:rsid w:val="00C8233F"/>
    <w:rsid w:val="00C87691"/>
    <w:rsid w:val="00C9319B"/>
    <w:rsid w:val="00C96626"/>
    <w:rsid w:val="00CA0E39"/>
    <w:rsid w:val="00CB422B"/>
    <w:rsid w:val="00D0573B"/>
    <w:rsid w:val="00D438FD"/>
    <w:rsid w:val="00D57023"/>
    <w:rsid w:val="00D57513"/>
    <w:rsid w:val="00D641C4"/>
    <w:rsid w:val="00D85809"/>
    <w:rsid w:val="00D96D3D"/>
    <w:rsid w:val="00DD2D16"/>
    <w:rsid w:val="00DE3974"/>
    <w:rsid w:val="00DE7E0C"/>
    <w:rsid w:val="00DF0F74"/>
    <w:rsid w:val="00E014B2"/>
    <w:rsid w:val="00E30858"/>
    <w:rsid w:val="00E33663"/>
    <w:rsid w:val="00E50548"/>
    <w:rsid w:val="00E6231E"/>
    <w:rsid w:val="00E67752"/>
    <w:rsid w:val="00E72459"/>
    <w:rsid w:val="00E7648A"/>
    <w:rsid w:val="00E8376D"/>
    <w:rsid w:val="00E97D78"/>
    <w:rsid w:val="00EB12F2"/>
    <w:rsid w:val="00EF3848"/>
    <w:rsid w:val="00F021E2"/>
    <w:rsid w:val="00F03B29"/>
    <w:rsid w:val="00F1074C"/>
    <w:rsid w:val="00F1271C"/>
    <w:rsid w:val="00F2136A"/>
    <w:rsid w:val="00F30872"/>
    <w:rsid w:val="00F32958"/>
    <w:rsid w:val="00F338F3"/>
    <w:rsid w:val="00F355C4"/>
    <w:rsid w:val="00F36C29"/>
    <w:rsid w:val="00F42F39"/>
    <w:rsid w:val="00F60587"/>
    <w:rsid w:val="00F71CF5"/>
    <w:rsid w:val="00F74FB7"/>
    <w:rsid w:val="00F938FF"/>
    <w:rsid w:val="00FA3D4F"/>
    <w:rsid w:val="00FA6598"/>
    <w:rsid w:val="00FA66EE"/>
    <w:rsid w:val="00FB361D"/>
    <w:rsid w:val="00FF6219"/>
    <w:rsid w:val="014E51F9"/>
    <w:rsid w:val="01565C22"/>
    <w:rsid w:val="01701945"/>
    <w:rsid w:val="01E43D94"/>
    <w:rsid w:val="02061968"/>
    <w:rsid w:val="024D59BE"/>
    <w:rsid w:val="02DE524F"/>
    <w:rsid w:val="02E62C1D"/>
    <w:rsid w:val="032464A0"/>
    <w:rsid w:val="03375087"/>
    <w:rsid w:val="0387747A"/>
    <w:rsid w:val="038A7E04"/>
    <w:rsid w:val="045841E5"/>
    <w:rsid w:val="047B3F91"/>
    <w:rsid w:val="05001AEE"/>
    <w:rsid w:val="053845B5"/>
    <w:rsid w:val="056B4E3A"/>
    <w:rsid w:val="05BA3C9C"/>
    <w:rsid w:val="066D21BA"/>
    <w:rsid w:val="06BA27AF"/>
    <w:rsid w:val="06DE4F18"/>
    <w:rsid w:val="06E90CB6"/>
    <w:rsid w:val="070C2DE5"/>
    <w:rsid w:val="07F02FC1"/>
    <w:rsid w:val="08223F56"/>
    <w:rsid w:val="086C28A0"/>
    <w:rsid w:val="089D0780"/>
    <w:rsid w:val="08A41B78"/>
    <w:rsid w:val="09BA00D4"/>
    <w:rsid w:val="09EA2EDB"/>
    <w:rsid w:val="0A3A1350"/>
    <w:rsid w:val="0A434F69"/>
    <w:rsid w:val="0A5F18E6"/>
    <w:rsid w:val="0B067065"/>
    <w:rsid w:val="0B5740C4"/>
    <w:rsid w:val="0B714C17"/>
    <w:rsid w:val="0C332249"/>
    <w:rsid w:val="0C3A14FB"/>
    <w:rsid w:val="0C3E0CC5"/>
    <w:rsid w:val="0C965621"/>
    <w:rsid w:val="0CA228BC"/>
    <w:rsid w:val="0D3434CA"/>
    <w:rsid w:val="0DAA42AF"/>
    <w:rsid w:val="0EB00C70"/>
    <w:rsid w:val="0F6D4FE3"/>
    <w:rsid w:val="0F701CEF"/>
    <w:rsid w:val="0F78776D"/>
    <w:rsid w:val="0F915C5C"/>
    <w:rsid w:val="0FAD221C"/>
    <w:rsid w:val="100F78CD"/>
    <w:rsid w:val="10BD3BB2"/>
    <w:rsid w:val="10D16881"/>
    <w:rsid w:val="10EC4FC7"/>
    <w:rsid w:val="11036B9F"/>
    <w:rsid w:val="1151641C"/>
    <w:rsid w:val="117B77B6"/>
    <w:rsid w:val="119E4115"/>
    <w:rsid w:val="11A41C6A"/>
    <w:rsid w:val="12BB643E"/>
    <w:rsid w:val="12EB63DA"/>
    <w:rsid w:val="13763A3D"/>
    <w:rsid w:val="13D96151"/>
    <w:rsid w:val="142A0C11"/>
    <w:rsid w:val="146F79A8"/>
    <w:rsid w:val="14952DAB"/>
    <w:rsid w:val="15121745"/>
    <w:rsid w:val="153424B6"/>
    <w:rsid w:val="15562292"/>
    <w:rsid w:val="15606287"/>
    <w:rsid w:val="15C16934"/>
    <w:rsid w:val="163A70CA"/>
    <w:rsid w:val="167A014A"/>
    <w:rsid w:val="16890F9F"/>
    <w:rsid w:val="16D7249C"/>
    <w:rsid w:val="16FC420B"/>
    <w:rsid w:val="16FC4D50"/>
    <w:rsid w:val="175449C3"/>
    <w:rsid w:val="175859E2"/>
    <w:rsid w:val="17B37D32"/>
    <w:rsid w:val="17BA71D7"/>
    <w:rsid w:val="17BC405F"/>
    <w:rsid w:val="17C55D73"/>
    <w:rsid w:val="184D689B"/>
    <w:rsid w:val="18781B4F"/>
    <w:rsid w:val="18D36325"/>
    <w:rsid w:val="18FB0246"/>
    <w:rsid w:val="19070DC0"/>
    <w:rsid w:val="19496A76"/>
    <w:rsid w:val="199C2D36"/>
    <w:rsid w:val="19B72B7E"/>
    <w:rsid w:val="19BC2403"/>
    <w:rsid w:val="19E43445"/>
    <w:rsid w:val="19FE6CF2"/>
    <w:rsid w:val="1A0D35C8"/>
    <w:rsid w:val="1A600B2E"/>
    <w:rsid w:val="1AAD6CEC"/>
    <w:rsid w:val="1AB7526A"/>
    <w:rsid w:val="1B346579"/>
    <w:rsid w:val="1BCB5E9A"/>
    <w:rsid w:val="1BDF4A13"/>
    <w:rsid w:val="1C271E35"/>
    <w:rsid w:val="1C3C0988"/>
    <w:rsid w:val="1C5F4076"/>
    <w:rsid w:val="1C846911"/>
    <w:rsid w:val="1CDE2F9B"/>
    <w:rsid w:val="1CE20FAD"/>
    <w:rsid w:val="1D550F3E"/>
    <w:rsid w:val="1DDC7FD8"/>
    <w:rsid w:val="1DDE762B"/>
    <w:rsid w:val="1E29262F"/>
    <w:rsid w:val="1E732520"/>
    <w:rsid w:val="1EA20B38"/>
    <w:rsid w:val="1F465A1B"/>
    <w:rsid w:val="1F820451"/>
    <w:rsid w:val="1FF006E6"/>
    <w:rsid w:val="2121547C"/>
    <w:rsid w:val="213A4552"/>
    <w:rsid w:val="219A38DE"/>
    <w:rsid w:val="21B12B9D"/>
    <w:rsid w:val="22125EF5"/>
    <w:rsid w:val="22193E22"/>
    <w:rsid w:val="225A318F"/>
    <w:rsid w:val="22875677"/>
    <w:rsid w:val="2291647A"/>
    <w:rsid w:val="22944985"/>
    <w:rsid w:val="239F2950"/>
    <w:rsid w:val="241D6B52"/>
    <w:rsid w:val="2435209E"/>
    <w:rsid w:val="243A0ECB"/>
    <w:rsid w:val="246E0194"/>
    <w:rsid w:val="2489077A"/>
    <w:rsid w:val="248D267E"/>
    <w:rsid w:val="24A61245"/>
    <w:rsid w:val="24E80751"/>
    <w:rsid w:val="254831B4"/>
    <w:rsid w:val="255E138A"/>
    <w:rsid w:val="257F76B6"/>
    <w:rsid w:val="25B03619"/>
    <w:rsid w:val="267529FA"/>
    <w:rsid w:val="26CB3F91"/>
    <w:rsid w:val="27243D22"/>
    <w:rsid w:val="27766D77"/>
    <w:rsid w:val="282C1044"/>
    <w:rsid w:val="28485A15"/>
    <w:rsid w:val="28765E07"/>
    <w:rsid w:val="299E646D"/>
    <w:rsid w:val="2A220AF5"/>
    <w:rsid w:val="2A3330B5"/>
    <w:rsid w:val="2AD43C51"/>
    <w:rsid w:val="2AD56C9C"/>
    <w:rsid w:val="2AE540CA"/>
    <w:rsid w:val="2B130792"/>
    <w:rsid w:val="2C19256F"/>
    <w:rsid w:val="2C2B131C"/>
    <w:rsid w:val="2CED0428"/>
    <w:rsid w:val="2D8175B0"/>
    <w:rsid w:val="2E8A4D44"/>
    <w:rsid w:val="2EED47FC"/>
    <w:rsid w:val="306F011A"/>
    <w:rsid w:val="30BF4520"/>
    <w:rsid w:val="30C96F71"/>
    <w:rsid w:val="31363AB8"/>
    <w:rsid w:val="314614CD"/>
    <w:rsid w:val="3168251C"/>
    <w:rsid w:val="31717D26"/>
    <w:rsid w:val="317536E6"/>
    <w:rsid w:val="32164436"/>
    <w:rsid w:val="323A59C7"/>
    <w:rsid w:val="328D0452"/>
    <w:rsid w:val="330D3BA4"/>
    <w:rsid w:val="335C5028"/>
    <w:rsid w:val="3366574E"/>
    <w:rsid w:val="340706B7"/>
    <w:rsid w:val="341F47BC"/>
    <w:rsid w:val="34853042"/>
    <w:rsid w:val="35021506"/>
    <w:rsid w:val="35457239"/>
    <w:rsid w:val="356335C7"/>
    <w:rsid w:val="35B86B05"/>
    <w:rsid w:val="35E2589B"/>
    <w:rsid w:val="36AF41D6"/>
    <w:rsid w:val="36E712DC"/>
    <w:rsid w:val="37D738EE"/>
    <w:rsid w:val="382D2E3B"/>
    <w:rsid w:val="385C1392"/>
    <w:rsid w:val="38A93B66"/>
    <w:rsid w:val="38C453A1"/>
    <w:rsid w:val="38FD11A4"/>
    <w:rsid w:val="3A341430"/>
    <w:rsid w:val="3A4A1D1B"/>
    <w:rsid w:val="3A666779"/>
    <w:rsid w:val="3B8F5A0F"/>
    <w:rsid w:val="3BEB7B50"/>
    <w:rsid w:val="3C116454"/>
    <w:rsid w:val="3C336375"/>
    <w:rsid w:val="3C680CE3"/>
    <w:rsid w:val="3C9A6693"/>
    <w:rsid w:val="3CEA322C"/>
    <w:rsid w:val="3D425DED"/>
    <w:rsid w:val="3E34642C"/>
    <w:rsid w:val="3EC72CA7"/>
    <w:rsid w:val="3EE2245C"/>
    <w:rsid w:val="3FC85036"/>
    <w:rsid w:val="3FF1279D"/>
    <w:rsid w:val="401B019D"/>
    <w:rsid w:val="401D532D"/>
    <w:rsid w:val="40466038"/>
    <w:rsid w:val="406153A8"/>
    <w:rsid w:val="40885934"/>
    <w:rsid w:val="4149389B"/>
    <w:rsid w:val="41C012EF"/>
    <w:rsid w:val="430218FE"/>
    <w:rsid w:val="433C3CDE"/>
    <w:rsid w:val="44450B3C"/>
    <w:rsid w:val="4453598F"/>
    <w:rsid w:val="448B162B"/>
    <w:rsid w:val="44BA63F4"/>
    <w:rsid w:val="44D14936"/>
    <w:rsid w:val="45117458"/>
    <w:rsid w:val="4571476F"/>
    <w:rsid w:val="45B04A8E"/>
    <w:rsid w:val="45D33B6D"/>
    <w:rsid w:val="46196FCC"/>
    <w:rsid w:val="46887176"/>
    <w:rsid w:val="468B665F"/>
    <w:rsid w:val="469973AD"/>
    <w:rsid w:val="46B30BE6"/>
    <w:rsid w:val="46CE0006"/>
    <w:rsid w:val="48085CBE"/>
    <w:rsid w:val="48385016"/>
    <w:rsid w:val="48B46C67"/>
    <w:rsid w:val="49292052"/>
    <w:rsid w:val="49967B97"/>
    <w:rsid w:val="49A40C06"/>
    <w:rsid w:val="49CC7DFC"/>
    <w:rsid w:val="49F46AB6"/>
    <w:rsid w:val="4A4C7B46"/>
    <w:rsid w:val="4A574CEE"/>
    <w:rsid w:val="4A9D46D9"/>
    <w:rsid w:val="4B37034E"/>
    <w:rsid w:val="4B41455D"/>
    <w:rsid w:val="4B9506C1"/>
    <w:rsid w:val="4C872431"/>
    <w:rsid w:val="4CB45B65"/>
    <w:rsid w:val="4DA12B12"/>
    <w:rsid w:val="4DC05211"/>
    <w:rsid w:val="4E212BC0"/>
    <w:rsid w:val="4E275F20"/>
    <w:rsid w:val="4E2E2EA1"/>
    <w:rsid w:val="4E530EED"/>
    <w:rsid w:val="4E7B49F6"/>
    <w:rsid w:val="4EB87798"/>
    <w:rsid w:val="4EF929CD"/>
    <w:rsid w:val="4F076413"/>
    <w:rsid w:val="4FE607F1"/>
    <w:rsid w:val="500679B3"/>
    <w:rsid w:val="503A650C"/>
    <w:rsid w:val="50780A9E"/>
    <w:rsid w:val="50CE4B1F"/>
    <w:rsid w:val="50D41E14"/>
    <w:rsid w:val="50FE0D2B"/>
    <w:rsid w:val="518A120E"/>
    <w:rsid w:val="52596E1D"/>
    <w:rsid w:val="52B75F35"/>
    <w:rsid w:val="52C57371"/>
    <w:rsid w:val="52E440C7"/>
    <w:rsid w:val="532F752C"/>
    <w:rsid w:val="533E6C4F"/>
    <w:rsid w:val="53616460"/>
    <w:rsid w:val="539722B2"/>
    <w:rsid w:val="53C67D55"/>
    <w:rsid w:val="53DC166E"/>
    <w:rsid w:val="5412334B"/>
    <w:rsid w:val="55550CAB"/>
    <w:rsid w:val="557650C0"/>
    <w:rsid w:val="557B19A4"/>
    <w:rsid w:val="55A07AD7"/>
    <w:rsid w:val="55A80A11"/>
    <w:rsid w:val="55B400EF"/>
    <w:rsid w:val="569F12B9"/>
    <w:rsid w:val="58017672"/>
    <w:rsid w:val="580F5E5E"/>
    <w:rsid w:val="58722B79"/>
    <w:rsid w:val="5873565F"/>
    <w:rsid w:val="588900B0"/>
    <w:rsid w:val="58CA582D"/>
    <w:rsid w:val="58CB5A46"/>
    <w:rsid w:val="591820D7"/>
    <w:rsid w:val="59270FAF"/>
    <w:rsid w:val="592D3A46"/>
    <w:rsid w:val="593E22CE"/>
    <w:rsid w:val="596D1DD2"/>
    <w:rsid w:val="59E8332A"/>
    <w:rsid w:val="5A76268B"/>
    <w:rsid w:val="5B311346"/>
    <w:rsid w:val="5B48703C"/>
    <w:rsid w:val="5B7D216F"/>
    <w:rsid w:val="5BB754AD"/>
    <w:rsid w:val="5C9268EB"/>
    <w:rsid w:val="5CF63BD7"/>
    <w:rsid w:val="5CF86CAD"/>
    <w:rsid w:val="5D127142"/>
    <w:rsid w:val="5D3454D7"/>
    <w:rsid w:val="5D7F4068"/>
    <w:rsid w:val="5D8819FC"/>
    <w:rsid w:val="5DAD3275"/>
    <w:rsid w:val="5DD53D64"/>
    <w:rsid w:val="5E40080F"/>
    <w:rsid w:val="5E7C6FFE"/>
    <w:rsid w:val="5F221FF7"/>
    <w:rsid w:val="5F280B76"/>
    <w:rsid w:val="5F521DE4"/>
    <w:rsid w:val="5F626F6C"/>
    <w:rsid w:val="5F784D91"/>
    <w:rsid w:val="5F7B312E"/>
    <w:rsid w:val="5F8D6D7D"/>
    <w:rsid w:val="5FAF7536"/>
    <w:rsid w:val="60105C86"/>
    <w:rsid w:val="61AA7E09"/>
    <w:rsid w:val="62310CC3"/>
    <w:rsid w:val="628B3FD1"/>
    <w:rsid w:val="62E83357"/>
    <w:rsid w:val="63077746"/>
    <w:rsid w:val="635371D0"/>
    <w:rsid w:val="644049EE"/>
    <w:rsid w:val="64470926"/>
    <w:rsid w:val="64642B61"/>
    <w:rsid w:val="654163B2"/>
    <w:rsid w:val="6584199E"/>
    <w:rsid w:val="65D95BBC"/>
    <w:rsid w:val="664C40EB"/>
    <w:rsid w:val="66D86A77"/>
    <w:rsid w:val="66E30843"/>
    <w:rsid w:val="69AB6AB6"/>
    <w:rsid w:val="69B9065F"/>
    <w:rsid w:val="69CE0BCF"/>
    <w:rsid w:val="6ADB0766"/>
    <w:rsid w:val="6B7400EA"/>
    <w:rsid w:val="6B751706"/>
    <w:rsid w:val="6BA4790D"/>
    <w:rsid w:val="6BC74130"/>
    <w:rsid w:val="6BD760AE"/>
    <w:rsid w:val="6BE07E6D"/>
    <w:rsid w:val="6C162D18"/>
    <w:rsid w:val="6CA84AE8"/>
    <w:rsid w:val="6CCE1D3E"/>
    <w:rsid w:val="6D031176"/>
    <w:rsid w:val="6DF05B92"/>
    <w:rsid w:val="6EC73D3F"/>
    <w:rsid w:val="6ECA5895"/>
    <w:rsid w:val="6EF235B7"/>
    <w:rsid w:val="6F112EE3"/>
    <w:rsid w:val="6FA87322"/>
    <w:rsid w:val="6FD55550"/>
    <w:rsid w:val="709009A4"/>
    <w:rsid w:val="712F571E"/>
    <w:rsid w:val="713F007B"/>
    <w:rsid w:val="71AF5B0C"/>
    <w:rsid w:val="71EB55BD"/>
    <w:rsid w:val="724C2D38"/>
    <w:rsid w:val="72A07EAB"/>
    <w:rsid w:val="72B33057"/>
    <w:rsid w:val="73231956"/>
    <w:rsid w:val="741B070C"/>
    <w:rsid w:val="75016048"/>
    <w:rsid w:val="752338B0"/>
    <w:rsid w:val="75B004BC"/>
    <w:rsid w:val="75EE62ED"/>
    <w:rsid w:val="75F83B29"/>
    <w:rsid w:val="760D13EE"/>
    <w:rsid w:val="76254A5F"/>
    <w:rsid w:val="76376E2D"/>
    <w:rsid w:val="76507B24"/>
    <w:rsid w:val="76A12893"/>
    <w:rsid w:val="76A1624B"/>
    <w:rsid w:val="76D02E02"/>
    <w:rsid w:val="76EF0943"/>
    <w:rsid w:val="771204DB"/>
    <w:rsid w:val="771C566F"/>
    <w:rsid w:val="77AC2590"/>
    <w:rsid w:val="77F01DF2"/>
    <w:rsid w:val="786C1648"/>
    <w:rsid w:val="786D4C87"/>
    <w:rsid w:val="79024E0A"/>
    <w:rsid w:val="79052C36"/>
    <w:rsid w:val="79112886"/>
    <w:rsid w:val="794C6C48"/>
    <w:rsid w:val="79A01C9B"/>
    <w:rsid w:val="79B90F7B"/>
    <w:rsid w:val="7A376CCC"/>
    <w:rsid w:val="7A39279D"/>
    <w:rsid w:val="7A4A4E6D"/>
    <w:rsid w:val="7A7D7748"/>
    <w:rsid w:val="7AC5307B"/>
    <w:rsid w:val="7AE24E09"/>
    <w:rsid w:val="7AFF1CB3"/>
    <w:rsid w:val="7B6304D4"/>
    <w:rsid w:val="7B984ED6"/>
    <w:rsid w:val="7BBE22FD"/>
    <w:rsid w:val="7CFA2823"/>
    <w:rsid w:val="7D6A22AF"/>
    <w:rsid w:val="7D6C221B"/>
    <w:rsid w:val="7D8B5493"/>
    <w:rsid w:val="7D8C4691"/>
    <w:rsid w:val="7D9C46A4"/>
    <w:rsid w:val="7E064D8A"/>
    <w:rsid w:val="7E144738"/>
    <w:rsid w:val="7E495873"/>
    <w:rsid w:val="7EBA47D3"/>
    <w:rsid w:val="7F622CDF"/>
    <w:rsid w:val="7FE45D3B"/>
    <w:rsid w:val="7FED05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600" w:lineRule="exact"/>
      <w:ind w:firstLine="880" w:firstLineChars="200"/>
      <w:jc w:val="both"/>
    </w:pPr>
    <w:rPr>
      <w:rFonts w:ascii="仿宋_GB2312" w:hAnsi="仿宋_GB2312"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pPr>
      <w:spacing w:line="240" w:lineRule="auto"/>
    </w:pPr>
    <w:rPr>
      <w:sz w:val="18"/>
      <w:szCs w:val="18"/>
    </w:rPr>
  </w:style>
  <w:style w:type="paragraph" w:styleId="3">
    <w:name w:val="footer"/>
    <w:basedOn w:val="1"/>
    <w:link w:val="13"/>
    <w:qFormat/>
    <w:uiPriority w:val="0"/>
    <w:pPr>
      <w:tabs>
        <w:tab w:val="center" w:pos="4153"/>
        <w:tab w:val="right" w:pos="8306"/>
      </w:tabs>
      <w:snapToGrid w:val="0"/>
      <w:spacing w:line="240" w:lineRule="atLeast"/>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7">
    <w:name w:val="大标题"/>
    <w:basedOn w:val="1"/>
    <w:autoRedefine/>
    <w:qFormat/>
    <w:uiPriority w:val="0"/>
    <w:pPr>
      <w:ind w:firstLine="0" w:firstLineChars="0"/>
      <w:jc w:val="center"/>
    </w:pPr>
    <w:rPr>
      <w:rFonts w:hint="eastAsia" w:ascii="方正小标宋简体" w:hAnsi="方正小标宋简体" w:eastAsia="方正小标宋简体" w:cs="方正小标宋简体"/>
      <w:sz w:val="44"/>
      <w:szCs w:val="44"/>
    </w:rPr>
  </w:style>
  <w:style w:type="paragraph" w:customStyle="1" w:styleId="8">
    <w:name w:val="标题一"/>
    <w:basedOn w:val="1"/>
    <w:autoRedefine/>
    <w:qFormat/>
    <w:uiPriority w:val="0"/>
    <w:pPr>
      <w:ind w:left="200" w:leftChars="200" w:firstLine="0" w:firstLineChars="0"/>
      <w:jc w:val="left"/>
    </w:pPr>
    <w:rPr>
      <w:rFonts w:hint="eastAsia" w:ascii="方正小标宋简体" w:hAnsi="方正小标宋简体" w:eastAsia="黑体" w:cs="方正小标宋简体"/>
      <w:szCs w:val="44"/>
    </w:rPr>
  </w:style>
  <w:style w:type="paragraph" w:customStyle="1" w:styleId="9">
    <w:name w:val="标题二"/>
    <w:basedOn w:val="1"/>
    <w:link w:val="11"/>
    <w:autoRedefine/>
    <w:qFormat/>
    <w:uiPriority w:val="0"/>
    <w:pPr>
      <w:ind w:left="200" w:leftChars="200" w:firstLine="0" w:firstLineChars="0"/>
      <w:jc w:val="left"/>
    </w:pPr>
    <w:rPr>
      <w:rFonts w:hint="eastAsia" w:ascii="方正小标宋简体" w:hAnsi="方正小标宋简体" w:eastAsia="楷体_GB2312" w:cs="方正小标宋简体"/>
      <w:b/>
      <w:szCs w:val="44"/>
    </w:rPr>
  </w:style>
  <w:style w:type="paragraph" w:customStyle="1" w:styleId="10">
    <w:name w:val="标题三"/>
    <w:basedOn w:val="1"/>
    <w:autoRedefine/>
    <w:qFormat/>
    <w:uiPriority w:val="0"/>
    <w:pPr>
      <w:ind w:firstLine="0" w:firstLineChars="0"/>
      <w:jc w:val="center"/>
    </w:pPr>
    <w:rPr>
      <w:rFonts w:hint="eastAsia" w:ascii="方正小标宋简体" w:hAnsi="方正小标宋简体" w:cs="方正小标宋简体"/>
      <w:b/>
      <w:szCs w:val="44"/>
    </w:rPr>
  </w:style>
  <w:style w:type="character" w:customStyle="1" w:styleId="11">
    <w:name w:val="标题二 Char"/>
    <w:link w:val="9"/>
    <w:qFormat/>
    <w:uiPriority w:val="0"/>
    <w:rPr>
      <w:rFonts w:hint="eastAsia" w:ascii="方正小标宋简体" w:hAnsi="方正小标宋简体" w:eastAsia="楷体_GB2312" w:cs="方正小标宋简体"/>
      <w:b/>
      <w:szCs w:val="44"/>
    </w:rPr>
  </w:style>
  <w:style w:type="character" w:customStyle="1" w:styleId="12">
    <w:name w:val="页眉 字符"/>
    <w:basedOn w:val="6"/>
    <w:link w:val="4"/>
    <w:qFormat/>
    <w:uiPriority w:val="0"/>
    <w:rPr>
      <w:rFonts w:ascii="仿宋_GB2312" w:hAnsi="仿宋_GB2312" w:eastAsia="仿宋_GB2312"/>
      <w:kern w:val="2"/>
      <w:sz w:val="18"/>
      <w:szCs w:val="18"/>
    </w:rPr>
  </w:style>
  <w:style w:type="character" w:customStyle="1" w:styleId="13">
    <w:name w:val="页脚 字符"/>
    <w:basedOn w:val="6"/>
    <w:link w:val="3"/>
    <w:qFormat/>
    <w:uiPriority w:val="0"/>
    <w:rPr>
      <w:rFonts w:ascii="仿宋_GB2312" w:hAnsi="仿宋_GB2312" w:eastAsia="仿宋_GB2312"/>
      <w:kern w:val="2"/>
      <w:sz w:val="18"/>
      <w:szCs w:val="18"/>
    </w:rPr>
  </w:style>
  <w:style w:type="paragraph" w:customStyle="1" w:styleId="14">
    <w:name w:val="修订1"/>
    <w:hidden/>
    <w:unhideWhenUsed/>
    <w:qFormat/>
    <w:uiPriority w:val="99"/>
    <w:rPr>
      <w:rFonts w:ascii="仿宋_GB2312" w:hAnsi="仿宋_GB2312" w:eastAsia="仿宋_GB2312" w:cs="Times New Roman"/>
      <w:kern w:val="2"/>
      <w:sz w:val="32"/>
      <w:szCs w:val="24"/>
      <w:lang w:val="en-US" w:eastAsia="zh-CN" w:bidi="ar-SA"/>
    </w:rPr>
  </w:style>
  <w:style w:type="character" w:customStyle="1" w:styleId="15">
    <w:name w:val="批注框文本 字符"/>
    <w:basedOn w:val="6"/>
    <w:link w:val="2"/>
    <w:qFormat/>
    <w:uiPriority w:val="0"/>
    <w:rPr>
      <w:rFonts w:ascii="仿宋_GB2312" w:hAnsi="仿宋_GB2312" w:eastAsia="仿宋_GB2312"/>
      <w:kern w:val="2"/>
      <w:sz w:val="18"/>
      <w:szCs w:val="18"/>
    </w:rPr>
  </w:style>
  <w:style w:type="paragraph" w:styleId="16">
    <w:name w:val="List Paragraph"/>
    <w:basedOn w:val="1"/>
    <w:unhideWhenUsed/>
    <w:qFormat/>
    <w:uiPriority w:val="99"/>
    <w:pPr>
      <w:ind w:firstLine="420"/>
    </w:pPr>
  </w:style>
  <w:style w:type="paragraph" w:customStyle="1" w:styleId="17">
    <w:name w:val="修订2"/>
    <w:hidden/>
    <w:unhideWhenUsed/>
    <w:qFormat/>
    <w:uiPriority w:val="99"/>
    <w:rPr>
      <w:rFonts w:ascii="仿宋_GB2312" w:hAnsi="仿宋_GB2312" w:eastAsia="仿宋_GB2312" w:cs="Times New Roman"/>
      <w:kern w:val="2"/>
      <w:sz w:val="32"/>
      <w:szCs w:val="24"/>
      <w:lang w:val="en-US" w:eastAsia="zh-CN" w:bidi="ar-SA"/>
    </w:rPr>
  </w:style>
  <w:style w:type="paragraph" w:customStyle="1" w:styleId="18">
    <w:name w:val="Revision"/>
    <w:hidden/>
    <w:unhideWhenUsed/>
    <w:qFormat/>
    <w:uiPriority w:val="99"/>
    <w:rPr>
      <w:rFonts w:ascii="仿宋_GB2312" w:hAnsi="仿宋_GB2312" w:eastAsia="仿宋_GB2312" w:cs="Times New Roman"/>
      <w:kern w:val="2"/>
      <w:sz w:val="32"/>
      <w:szCs w:val="24"/>
      <w:lang w:val="en-US" w:eastAsia="zh-CN" w:bidi="ar-SA"/>
    </w:rPr>
  </w:style>
  <w:style w:type="character" w:customStyle="1" w:styleId="19">
    <w:name w:val="font31"/>
    <w:basedOn w:val="6"/>
    <w:uiPriority w:val="0"/>
    <w:rPr>
      <w:rFonts w:hint="eastAsia" w:ascii="仿宋_GB2312" w:eastAsia="仿宋_GB2312" w:cs="仿宋_GB2312"/>
      <w:b/>
      <w:bCs/>
      <w:color w:val="000000"/>
      <w:sz w:val="24"/>
      <w:szCs w:val="24"/>
      <w:u w:val="none"/>
    </w:rPr>
  </w:style>
  <w:style w:type="character" w:customStyle="1" w:styleId="20">
    <w:name w:val="font51"/>
    <w:basedOn w:val="6"/>
    <w:uiPriority w:val="0"/>
    <w:rPr>
      <w:rFonts w:hint="eastAsia" w:ascii="仿宋_GB2312" w:eastAsia="仿宋_GB2312" w:cs="仿宋_GB2312"/>
      <w:b/>
      <w:bCs/>
      <w:color w:val="000000"/>
      <w:sz w:val="24"/>
      <w:szCs w:val="24"/>
      <w:u w:val="none"/>
    </w:rPr>
  </w:style>
  <w:style w:type="character" w:customStyle="1" w:styleId="21">
    <w:name w:val="font61"/>
    <w:basedOn w:val="6"/>
    <w:uiPriority w:val="0"/>
    <w:rPr>
      <w:rFonts w:hint="eastAsia" w:ascii="仿宋_GB2312" w:eastAsia="仿宋_GB2312" w:cs="仿宋_GB2312"/>
      <w:b/>
      <w:bCs/>
      <w:color w:val="FF0000"/>
      <w:sz w:val="24"/>
      <w:szCs w:val="24"/>
      <w:u w:val="none"/>
    </w:rPr>
  </w:style>
  <w:style w:type="character" w:customStyle="1" w:styleId="22">
    <w:name w:val="font41"/>
    <w:basedOn w:val="6"/>
    <w:uiPriority w:val="0"/>
    <w:rPr>
      <w:rFonts w:hint="eastAsia" w:ascii="仿宋_GB2312" w:eastAsia="仿宋_GB2312" w:cs="仿宋_GB2312"/>
      <w:color w:val="000000"/>
      <w:sz w:val="24"/>
      <w:szCs w:val="24"/>
      <w:u w:val="none"/>
    </w:rPr>
  </w:style>
  <w:style w:type="character" w:customStyle="1" w:styleId="23">
    <w:name w:val="font71"/>
    <w:basedOn w:val="6"/>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14D685-AB9F-4488-9E73-AED7E193A09E}">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4230</Words>
  <Characters>4254</Characters>
  <Lines>96</Lines>
  <Paragraphs>62</Paragraphs>
  <TotalTime>2</TotalTime>
  <ScaleCrop>false</ScaleCrop>
  <LinksUpToDate>false</LinksUpToDate>
  <CharactersWithSpaces>4317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2023-10-23T07:50:00Z</dcterms:created>
  <dc:creator>darkknight</dc:creator>
  <cp:lastModifiedBy>权伟</cp:lastModifiedBy>
  <cp:lastPrinted>2025-06-09T10:21:00Z</cp:lastPrinted>
  <dcterms:modified xsi:type="dcterms:W3CDTF">2025-06-20T09:32:14Z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594628E1471E491C9FF0765E82C6F69F_13</vt:lpwstr>
  </property>
  <property fmtid="{D5CDD505-2E9C-101B-9397-08002B2CF9AE}" pid="4" name="KSOTemplateDocerSaveRecord">
    <vt:lpwstr>eyJoZGlkIjoiODk0YWU1Mjc4MGM5Mzg1YjY5ODFmMDdlZGQ5ZTcxOTgiLCJ1c2VySWQiOiIyMDI2OTAwNTQifQ==</vt:lpwstr>
  </property>
</Properties>
</file>